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FE7" w:rsidRDefault="00243FE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43FE7" w:rsidRDefault="00243FE7">
      <w:pPr>
        <w:pStyle w:val="ConsPlusNormal"/>
        <w:outlineLvl w:val="0"/>
      </w:pPr>
    </w:p>
    <w:p w:rsidR="00243FE7" w:rsidRDefault="00243FE7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243FE7" w:rsidRDefault="00243FE7">
      <w:pPr>
        <w:pStyle w:val="ConsPlusTitle"/>
        <w:jc w:val="center"/>
      </w:pPr>
    </w:p>
    <w:p w:rsidR="00243FE7" w:rsidRDefault="00243FE7">
      <w:pPr>
        <w:pStyle w:val="ConsPlusTitle"/>
        <w:jc w:val="center"/>
      </w:pPr>
      <w:r>
        <w:t>ПОСТАНОВЛЕНИЕ</w:t>
      </w:r>
    </w:p>
    <w:p w:rsidR="00243FE7" w:rsidRDefault="00243FE7">
      <w:pPr>
        <w:pStyle w:val="ConsPlusTitle"/>
        <w:jc w:val="center"/>
      </w:pPr>
      <w:r>
        <w:t>от 29 ноября 2017 г. N 666</w:t>
      </w:r>
    </w:p>
    <w:p w:rsidR="00243FE7" w:rsidRDefault="00243FE7">
      <w:pPr>
        <w:pStyle w:val="ConsPlusTitle"/>
        <w:jc w:val="center"/>
      </w:pPr>
    </w:p>
    <w:p w:rsidR="00243FE7" w:rsidRDefault="00243FE7">
      <w:pPr>
        <w:pStyle w:val="ConsPlusTitle"/>
        <w:jc w:val="center"/>
      </w:pPr>
      <w:r>
        <w:t>О ВНЕСЕНИИ ИЗМЕНЕНИЙ В ПОСТАНОВЛЕНИЕ АДМИНИСТРАЦИИ</w:t>
      </w:r>
    </w:p>
    <w:p w:rsidR="00243FE7" w:rsidRDefault="00243FE7">
      <w:pPr>
        <w:pStyle w:val="ConsPlusTitle"/>
        <w:jc w:val="center"/>
      </w:pPr>
      <w:r>
        <w:t>ГОРОДСКОГО ОКРУГА ГОРОД ВОРОНЕЖ ОТ 22.12.2015 N 952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22.12.2015 N 952 "Об утверждении проекта планировки территории квартала по Московскому проспекту в городском округе город Воронеж", на основании заявления индивидуального предпринимателя Рогатнева Владимира Петровича (ИНН 366300163204), записи в Едином государственном реестре прав на недвижимое имущество и сделок с ним от 28.12.2012 N 36-36-01/237/2012-240, в связи с исполнением </w:t>
      </w:r>
      <w:hyperlink r:id="rId11">
        <w:r>
          <w:rPr>
            <w:color w:val="0000FF"/>
          </w:rPr>
          <w:t>постановления</w:t>
        </w:r>
        <w:proofErr w:type="gramEnd"/>
      </w:hyperlink>
      <w:r>
        <w:t xml:space="preserve"> </w:t>
      </w:r>
      <w:proofErr w:type="gramStart"/>
      <w:r>
        <w:t>администрации городского округа город Воронеж от 11.05.2017 N 248 "О подготовке внесения изменений в проект планировки территории квартала по Московскому проспекту в городском округе город Воронеж", с учетом заключения от 13.11.2017 о результатах публичных слушаний по проекту планировки территории квартала по Московскому проспекту в городском округе город Воронеж администрация городского округа город Воронеж постановляет: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внести в </w:t>
      </w:r>
      <w:hyperlink r:id="rId12">
        <w:r>
          <w:rPr>
            <w:color w:val="0000FF"/>
          </w:rPr>
          <w:t>постановление</w:t>
        </w:r>
      </w:hyperlink>
      <w:r>
        <w:t xml:space="preserve"> администрации городского округа город Воронеж от 22.12.2015 N 952 "Об утверждении проекта планировки территории квартала по Московскому проспекту в городском округе город Воронеж" следующие изменения: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r:id="rId13">
        <w:r>
          <w:rPr>
            <w:color w:val="0000FF"/>
          </w:rPr>
          <w:t>проект</w:t>
        </w:r>
      </w:hyperlink>
      <w:r>
        <w:t xml:space="preserve"> планировки территории квартала по Московскому проспекту в городском округе город Воронеж в новой </w:t>
      </w:r>
      <w:hyperlink w:anchor="P27">
        <w:r>
          <w:rPr>
            <w:color w:val="0000FF"/>
          </w:rPr>
          <w:t>редакции</w:t>
        </w:r>
      </w:hyperlink>
      <w:r>
        <w:t>.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243FE7" w:rsidRDefault="00243FE7">
      <w:pPr>
        <w:pStyle w:val="ConsPlusNormal"/>
        <w:jc w:val="right"/>
      </w:pPr>
      <w:r>
        <w:t>округа город Воронеж</w:t>
      </w:r>
    </w:p>
    <w:p w:rsidR="00243FE7" w:rsidRDefault="00243FE7">
      <w:pPr>
        <w:pStyle w:val="ConsPlusNormal"/>
        <w:jc w:val="right"/>
      </w:pPr>
      <w:r>
        <w:t>А.В.ГУСЕВ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  <w:outlineLvl w:val="0"/>
      </w:pPr>
      <w:r>
        <w:t>Утвержден</w:t>
      </w:r>
    </w:p>
    <w:p w:rsidR="00243FE7" w:rsidRDefault="00243FE7">
      <w:pPr>
        <w:pStyle w:val="ConsPlusNormal"/>
        <w:jc w:val="right"/>
      </w:pPr>
      <w:r>
        <w:t>постановлением</w:t>
      </w:r>
    </w:p>
    <w:p w:rsidR="00243FE7" w:rsidRDefault="00243FE7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243FE7" w:rsidRDefault="00243FE7">
      <w:pPr>
        <w:pStyle w:val="ConsPlusNormal"/>
        <w:jc w:val="right"/>
      </w:pPr>
      <w:r>
        <w:t>округа город Воронеж</w:t>
      </w:r>
    </w:p>
    <w:p w:rsidR="00243FE7" w:rsidRDefault="00243FE7">
      <w:pPr>
        <w:pStyle w:val="ConsPlusNormal"/>
        <w:jc w:val="right"/>
      </w:pPr>
      <w:r>
        <w:t>от 29.11.2017 N 666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Title"/>
        <w:jc w:val="center"/>
      </w:pPr>
      <w:bookmarkStart w:id="0" w:name="P27"/>
      <w:bookmarkEnd w:id="0"/>
      <w:r>
        <w:t>ПРОЕКТ</w:t>
      </w:r>
    </w:p>
    <w:p w:rsidR="00243FE7" w:rsidRDefault="00243FE7">
      <w:pPr>
        <w:pStyle w:val="ConsPlusTitle"/>
        <w:jc w:val="center"/>
      </w:pPr>
      <w:r>
        <w:t>ПЛАНИРОВКИ ТЕРРИТОРИИ КВАРТАЛА ПО МОСКОВСКОМУ ПРОСПЕКТУ</w:t>
      </w:r>
    </w:p>
    <w:p w:rsidR="00243FE7" w:rsidRDefault="00243FE7">
      <w:pPr>
        <w:pStyle w:val="ConsPlusTitle"/>
        <w:jc w:val="center"/>
      </w:pPr>
      <w:r>
        <w:t>В ГОРОДСКОМ ОКРУГЕ ГОРОД ВОРОНЕЖ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 xml:space="preserve">1. </w:t>
      </w:r>
      <w:hyperlink w:anchor="P49">
        <w:r>
          <w:rPr>
            <w:color w:val="0000FF"/>
          </w:rPr>
          <w:t>Положение</w:t>
        </w:r>
      </w:hyperlink>
      <w:r>
        <w:t xml:space="preserve"> о характеристиках и очередности планируемого развития территории </w:t>
      </w:r>
      <w:r>
        <w:lastRenderedPageBreak/>
        <w:t>квартала по Московскому проспекту в городском округе город Воронеж (приложение N 1).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2. </w:t>
      </w:r>
      <w:hyperlink w:anchor="P789">
        <w:r>
          <w:rPr>
            <w:color w:val="0000FF"/>
          </w:rPr>
          <w:t>Чертеж</w:t>
        </w:r>
      </w:hyperlink>
      <w:r>
        <w:t xml:space="preserve"> планировки территории квартала по Московскому проспекту в городском округе город Воронеж (приложение N 2).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243FE7" w:rsidRDefault="00243FE7">
      <w:pPr>
        <w:pStyle w:val="ConsPlusNormal"/>
        <w:jc w:val="right"/>
      </w:pPr>
      <w:r>
        <w:t>руководителя управления</w:t>
      </w:r>
    </w:p>
    <w:p w:rsidR="00243FE7" w:rsidRDefault="00243FE7">
      <w:pPr>
        <w:pStyle w:val="ConsPlusNormal"/>
        <w:jc w:val="right"/>
      </w:pPr>
      <w:r>
        <w:t>главного архитектора городского округа</w:t>
      </w:r>
    </w:p>
    <w:p w:rsidR="00243FE7" w:rsidRDefault="00243FE7">
      <w:pPr>
        <w:pStyle w:val="ConsPlusNormal"/>
        <w:jc w:val="right"/>
      </w:pPr>
      <w:r>
        <w:t>Л.А.ПОДШИВАЛОВА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  <w:outlineLvl w:val="1"/>
      </w:pPr>
      <w:r>
        <w:t>Приложение N 1</w:t>
      </w:r>
    </w:p>
    <w:p w:rsidR="00243FE7" w:rsidRDefault="00243FE7">
      <w:pPr>
        <w:pStyle w:val="ConsPlusNormal"/>
        <w:jc w:val="right"/>
      </w:pPr>
      <w:r>
        <w:t>к проекту</w:t>
      </w:r>
    </w:p>
    <w:p w:rsidR="00243FE7" w:rsidRDefault="00243FE7">
      <w:pPr>
        <w:pStyle w:val="ConsPlusNormal"/>
        <w:jc w:val="right"/>
      </w:pPr>
      <w:r>
        <w:t>планировки территории</w:t>
      </w:r>
    </w:p>
    <w:p w:rsidR="00243FE7" w:rsidRDefault="00243FE7">
      <w:pPr>
        <w:pStyle w:val="ConsPlusNormal"/>
        <w:jc w:val="right"/>
      </w:pPr>
      <w:r>
        <w:t>квартала по Московскому проспекту</w:t>
      </w:r>
    </w:p>
    <w:p w:rsidR="00243FE7" w:rsidRDefault="00243FE7">
      <w:pPr>
        <w:pStyle w:val="ConsPlusNormal"/>
        <w:jc w:val="right"/>
      </w:pPr>
      <w:r>
        <w:t>в городском округе город Воронеж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</w:pPr>
      <w:bookmarkStart w:id="1" w:name="P49"/>
      <w:bookmarkEnd w:id="1"/>
      <w:r>
        <w:t>ПОЛОЖЕНИЕ</w:t>
      </w:r>
    </w:p>
    <w:p w:rsidR="00243FE7" w:rsidRDefault="00243FE7">
      <w:pPr>
        <w:pStyle w:val="ConsPlusNormal"/>
        <w:jc w:val="center"/>
      </w:pPr>
      <w:r>
        <w:t>о характеристиках и очередности планируемого развития</w:t>
      </w:r>
    </w:p>
    <w:p w:rsidR="00243FE7" w:rsidRDefault="00243FE7">
      <w:pPr>
        <w:pStyle w:val="ConsPlusNormal"/>
        <w:jc w:val="center"/>
      </w:pPr>
      <w:r>
        <w:t>территории квартала по Московскому проспекту</w:t>
      </w:r>
    </w:p>
    <w:p w:rsidR="00243FE7" w:rsidRDefault="00243FE7">
      <w:pPr>
        <w:pStyle w:val="ConsPlusNormal"/>
        <w:jc w:val="center"/>
      </w:pPr>
      <w:r>
        <w:t>в городском округе город Воронеж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  <w:outlineLvl w:val="2"/>
      </w:pPr>
      <w:r>
        <w:t>I. Общие положения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квартала по Московскому проспекту в городском округе город Воронеж (далее - проект планировки территории) разработан на основании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11.05.2017 N 248 "О подготовке внесения изменений в проект планировки территории квартала по Московскому проспекту в городском округе город Воронеж", Генерального </w:t>
      </w:r>
      <w:hyperlink r:id="rId15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</w:t>
      </w:r>
      <w:proofErr w:type="gramEnd"/>
      <w:r>
        <w:t xml:space="preserve"> </w:t>
      </w:r>
      <w:proofErr w:type="gramStart"/>
      <w:r>
        <w:t xml:space="preserve">422-II "Об утверждении Генерального плана городского округа город Воронеж" (далее - Генеральный план), </w:t>
      </w:r>
      <w:hyperlink r:id="rId16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 (далее - Правила), постановления администрации городского округа город Воронеж от 22.12.2015 N 952 "Об утверждении проекта планировки территории квартала по Московскому проспекту</w:t>
      </w:r>
      <w:proofErr w:type="gramEnd"/>
      <w:r>
        <w:t xml:space="preserve"> </w:t>
      </w:r>
      <w:proofErr w:type="gramStart"/>
      <w:r>
        <w:t xml:space="preserve">в городском округе город Воронеж",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16.08.2017 N 445 "О внесении изменений в постановление администрации городского округа город Воронеж от 22.12.2015 N 952", в соответствии с требованиями Градостроительного </w:t>
      </w:r>
      <w:hyperlink r:id="rId18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 xml:space="preserve">Подготовка проекта планировки территории осуществляется в целях уточнения параметров разрешенного строительства и проектных решений, установленных для квартала по Московскому проспекту проектом планировки территории квартала по Московскому проспекту в городском округе город Воронеж, утвержденным постановлением администрации городского округа город Воронеж от 22.12.2015 N 952 и </w:t>
      </w:r>
      <w:hyperlink r:id="rId19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16.08.2017 N 445.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Проект планировки территории является основой для разработки проекта межевания территории. Проект планировки территории является основанием для последующей подготовки </w:t>
      </w:r>
      <w:r>
        <w:lastRenderedPageBreak/>
        <w:t>проектной документации и осуществления строительства.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территорий, а также для последующих стадий архитектурно-строительного проектирования и строительства отдельных объектов.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 xml:space="preserve">Рассматриваемый проект планировки территории разработан в соответствии с требованиями технических регламентов, региональными </w:t>
      </w:r>
      <w:hyperlink r:id="rId20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Воронежской области, утвержденными приказом управления архитектуры и градостроительства Воронежской области от 01.11.2016 N 45-01-04/433 (далее - региональные нормативы), местными </w:t>
      </w:r>
      <w:hyperlink r:id="rId21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городского округа город Воронеж, утвержденными решением Воронежской городской Думы от 31.08.2016 N 340-IV (далее - местные нормативы).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При этом рассматриваемый проект планировки территории соответствует региональным </w:t>
      </w:r>
      <w:hyperlink r:id="rId22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Воронежской области, утвержденным приказом управления архитектуры и градостроительства Воронежской области от 09.10.2017 N 45-01-04/115 и вступившим в законную силу 27.10.2017.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>Планируемая территория квартала площадью 5,8 га расположена в Коминтерновском районе городского округа город Воронеж в границах улиц: Хользунова, Беговая, пр-кт Московский.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В настоящее время на рассматриваемой территории расположены земельные участки, фактически занимаемые индивидуальными жилыми домами, объектами социальной инфраструктуры и территория общего пользования - сквер "Мемориальный".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Транспортная связь с городским центром осуществляется по магистральной улице общегородского значения - пр-кту </w:t>
      </w:r>
      <w:proofErr w:type="gramStart"/>
      <w:r>
        <w:t>Московскому</w:t>
      </w:r>
      <w:proofErr w:type="gramEnd"/>
      <w:r>
        <w:t>, далее по магистральной улице - ул. Плехановской.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Ближайшие расстояния от территории проектирования до основных структурообразующих элементов города: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до центра города - 5,1 км;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до железнодорожного вокзала - 4,8 км;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до центрального автовокзала - 1,4 км.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Планируемая территория в соответствии с Генеральным </w:t>
      </w:r>
      <w:hyperlink r:id="rId23">
        <w:r>
          <w:rPr>
            <w:color w:val="0000FF"/>
          </w:rPr>
          <w:t>планом</w:t>
        </w:r>
      </w:hyperlink>
      <w:r>
        <w:t xml:space="preserve"> расположена в зонах многофункциональной общественно-деловой застройки, жилой застройки, подлежащей трансформации, зеленых насаждений общего пользования.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Планируемая территория рассматривается как территория реконструкции с постепенной заменой одноэтажного индивидуального жилого фонда на общественно-деловую застройку.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4">
        <w:r>
          <w:rPr>
            <w:color w:val="0000FF"/>
          </w:rPr>
          <w:t>Правилам</w:t>
        </w:r>
      </w:hyperlink>
      <w:r>
        <w:t xml:space="preserve"> планируемая территория расположена в территориальных зонах: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- </w:t>
      </w:r>
      <w:hyperlink r:id="rId25">
        <w:r>
          <w:rPr>
            <w:color w:val="0000FF"/>
          </w:rPr>
          <w:t>О 2</w:t>
        </w:r>
      </w:hyperlink>
      <w:r>
        <w:t xml:space="preserve"> - зона обслуживания местного значения. Зона выделена для обеспечения условий формирования местных (локальных) центров городских районов и полосных (линейных) центров вдоль улиц с широким спектром коммерческих и обслуживающих функций, ориентированных на удовлетворение повседневных и периодических потребностей населения;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26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11</w:t>
        </w:r>
      </w:hyperlink>
      <w:r>
        <w:t xml:space="preserve"> - зона жилой застройки, подлежащей трансформации. </w:t>
      </w:r>
      <w:proofErr w:type="gramStart"/>
      <w:r>
        <w:t>Зона выделена для поэтапного перевода жилого фонда в нежилой из-за невозможности соблюдения санитарно-гигиенических требований по условиям проживания населения;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- </w:t>
      </w:r>
      <w:hyperlink r:id="rId27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зона озелененных территорий общего пользования. Зона выделена для обеспечения правовых условий сохранения и использования земельных участков озеленения в целях проведения досуга населения;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- </w:t>
      </w:r>
      <w:hyperlink r:id="rId28">
        <w:r>
          <w:rPr>
            <w:color w:val="0000FF"/>
          </w:rPr>
          <w:t>О 4</w:t>
        </w:r>
      </w:hyperlink>
      <w:r>
        <w:t xml:space="preserve"> - зона специализированного обслуживания. Зона выделена для обеспечения условий осуществления различных видов деятельности, объединенных общим требованием: собственники земельных участков, расположенных в этих зонах, могут использовать недвижимость в соответствии с приведенными видами использования только после получения специальных согласований.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9">
        <w:r>
          <w:rPr>
            <w:color w:val="0000FF"/>
          </w:rPr>
          <w:t>статье 20</w:t>
        </w:r>
      </w:hyperlink>
      <w:r>
        <w:t xml:space="preserve"> Правил размещение торговых, офисных зданий, многоэтажных многоквартирных домов, консультативно-диагностического центра относится к основным видам разрешенного использования земельных участков в территориальной </w:t>
      </w:r>
      <w:hyperlink r:id="rId30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О</w:t>
        </w:r>
        <w:proofErr w:type="gramEnd"/>
        <w:r>
          <w:rPr>
            <w:color w:val="0000FF"/>
          </w:rPr>
          <w:t xml:space="preserve"> 2</w:t>
        </w:r>
      </w:hyperlink>
      <w:r>
        <w:t>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планируемой территории объекты федерального, регионального и местного значения отсутствуют.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В границах проектируемой территории отсутствуют объекты культурного наследия, выявленные объекты культурного наследия и объекты, обладающие признаками объекта культурного наследия.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Ранее на планируемую территорию квартала по Московскому проспекту был разработан проект планировки территории, утвержденный постановлением администрации городского округа город Воронеж от 22.12.2015 N 952. Согласно </w:t>
      </w:r>
      <w:hyperlink r:id="rId31">
        <w:r>
          <w:rPr>
            <w:color w:val="0000FF"/>
          </w:rPr>
          <w:t>постановлению</w:t>
        </w:r>
      </w:hyperlink>
      <w:r>
        <w:t xml:space="preserve"> администрации городского округа город Воронеж от 16.08.2017 N 445 "О внесении изменений в постановление администрации городского округа город Воронеж от 22.12.2015 N 952" были внесены и утверждены изменения в ранее утвержденный проект планировки территории.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Вышеуказанным проектом планировки территории предлагалось проектирование и строительство многоквартирного многоэтажного жилого дома (21 этаж) с нежилыми встроенно-пристроенными помещениями, многоквартирного многоэтажного дома (16 этажей) с нежилыми встроенно-пристроенными помещениями (4 этажа) и постепенная замена индивидуальной жилой застройки на общественно-деловую застройку. В нежилых встроенно-пристроенных помещениях планировалось размещение детского дошкольного учреждения, предприятий и учреждений повседневного и периодического обслуживания. В настоящее время данный прое</w:t>
      </w:r>
      <w:proofErr w:type="gramStart"/>
      <w:r>
        <w:t>кт в ст</w:t>
      </w:r>
      <w:proofErr w:type="gramEnd"/>
      <w:r>
        <w:t>адии начального этапа реализации.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утвержденному постановлением администрации городского округа город от 16.08.2017 N 445 </w:t>
      </w:r>
      <w:hyperlink r:id="rId32">
        <w:r>
          <w:rPr>
            <w:color w:val="0000FF"/>
          </w:rPr>
          <w:t>проекту</w:t>
        </w:r>
      </w:hyperlink>
      <w:r>
        <w:t xml:space="preserve"> планировки территории на принадлежащих Рогатневу В.П. земельных участках по пр-кту Московскому, 33, 37а (кадастровые номера 36:34:0205005:310, 36:34:0205005:306) планировалось размещение трехэтажного здания зуботехнической лаборатории (позиция 9). В настоящее время на указанных земельных участках планируется строительство 12-этажного многофункционального медицинского центра.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 xml:space="preserve">В целях уточнения планировочной структуры и параметров разрешенного строительства, реконструкции объектов капитального строительства, установленных для квартала по Московскому проспекту проектом планировки территории по Московскому проспекту в городском округе город Воронеж, утвержденным постановлением администрации городского округа город Воронеж от 22.12.2015 N 952 и внесенных изменений, в соответствии с </w:t>
      </w:r>
      <w:hyperlink r:id="rId33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от 16.08.2017 N 445 "О внесении изменений в</w:t>
      </w:r>
      <w:proofErr w:type="gramEnd"/>
      <w:r>
        <w:t xml:space="preserve"> постановление администрации городского округа город Воронеж от 22.12.2015 N </w:t>
      </w:r>
      <w:r>
        <w:lastRenderedPageBreak/>
        <w:t>952" подготовлен рассматриваемый проект планировки.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В соответствии с региональными </w:t>
      </w:r>
      <w:hyperlink r:id="rId34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интенсивность использования территории характеризуется коэффициентом застройки и коэффициентом плотности застройки.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момент подготовки проекта планировки интенсивность использования территории следующая: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процент застроенности территории составляет 4,4% (площадь застройки 2591 кв. м);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существующий жилой фонд - 1943,25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плотность жилой застройки - 335 кв. м/</w:t>
      </w:r>
      <w:proofErr w:type="gramStart"/>
      <w:r>
        <w:t>га</w:t>
      </w:r>
      <w:proofErr w:type="gramEnd"/>
      <w:r>
        <w:t>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население - 65 чел.;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плотность населения - 11 чел./</w:t>
      </w:r>
      <w:proofErr w:type="gramStart"/>
      <w:r>
        <w:t>га</w:t>
      </w:r>
      <w:proofErr w:type="gramEnd"/>
      <w:r>
        <w:t>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Объекты социальной инфраструктуры повседневного обслуживания на планируемой территории не расположены. Детские дошкольные учреждения, общеобразовательные школы, магазины и остальные объекты расположены на прилегающей территории в шаговой доступности от планируемого земельного участка.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243FE7" w:rsidRDefault="00243FE7">
      <w:pPr>
        <w:pStyle w:val="ConsPlusNormal"/>
        <w:spacing w:before="220"/>
        <w:ind w:firstLine="540"/>
        <w:jc w:val="both"/>
      </w:pPr>
      <w:hyperlink r:id="rId35">
        <w:r>
          <w:rPr>
            <w:color w:val="0000FF"/>
          </w:rPr>
          <w:t>Правилами</w:t>
        </w:r>
      </w:hyperlink>
      <w:r>
        <w:t xml:space="preserve"> установлены ограничения на использование земельных участков и объектов капитального строительства на планируемой территории в части санитарно-защитной зоны промпредприятий I - III классов вредности (в данном случае санитарно-защитная зона кладбища "Коминтерновское").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Кладбище "Коминтерновское" расположено по пр-кту </w:t>
      </w:r>
      <w:proofErr w:type="gramStart"/>
      <w:r>
        <w:t>Московский</w:t>
      </w:r>
      <w:proofErr w:type="gramEnd"/>
      <w:r>
        <w:t xml:space="preserve">, 31л (площадь земельного участка - 314660 кв. м). Решением исполкома горсовета от 30.06.1970 N 445 захоронения на кладбище запрещены. Согласно </w:t>
      </w:r>
      <w:hyperlink r:id="rId36">
        <w:r>
          <w:rPr>
            <w:color w:val="0000FF"/>
          </w:rPr>
          <w:t>СанПиН 2.2.1/2.1.1.1200-03</w:t>
        </w:r>
      </w:hyperlink>
      <w:r>
        <w:t xml:space="preserve"> данное кладбище относится к V классу в гигиенической классификации с ориентировочным размером санитарно-защитной зоны 50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ООО "Экопроект ЦЧР" был разработан проект расчетной санитарно-защитной зоны кладбища "Коминтерновское", расположенного по пр-кту Московский, 31л, и получено положительное экспертное заключение ФБУЗ "Центр гигиены и эпидемиологии в Воронежской области" от 22.04.2016 N ОГ-04-702. Данным экспертным заключением определена расчетная санитарно-защитная зона кладбища. Границы данной зоны совпадают с границами земельного участка, фактически занимаемого кладбищем, и составляют 0 м по всем румбам. Имеется санитарно-эпидемиологическое заключение управления Федеральной службы по надзору в сфере защиты прав потребителей и благополучия человека по Воронежской области от 07.06.2016 N 36.ВЦ.40.000.Т.008948.06.16.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Планируемая территория находится в пределах приаэродромных территорий аэродромов Воронеж (Придача), Воронеж (Чертовицкое) и Воронеж (Балтимор) и в районе аэродрома Воронеж (Придача),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заключениям старшего авиационного начальника аэродрома Воронеж "Балтимор" от 05.05.2014, ОАО "А/К "Воронежавиа" от 08.05.2014, ОАО "ВАСО" от 25.04.2014 N 138 на земельном участке по пр-кту Московскому, 67 (кадастровый номер 36:34:0205005:1212) </w:t>
      </w:r>
      <w:r>
        <w:lastRenderedPageBreak/>
        <w:t>разрешено строительство многоквартирного жилого дома высотой 75,5 м (21 этаж). Застройка будет являться искусственным препятствием и в связи с этим подлежит специальной маркировке и светоограждению.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основании заключения врио старшего авиационного начальника аэродрома Воронеж "Балтимор" от 08.08.2017 строительство 12-этажного многофункционального медицинского центра на земельных участках по адресам: г. Воронеж, пр-кт Московский, 33 (кадастровый номер 36:34:0205005:310) и пр-кт Московский, 37а (кадастровый номер 36:34:0205005:306) разрешается.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>Согласно предварительному заключению ООО Управляющая компания "АВИАСЕРВИС" от 23.06.2017 строительство 12-этажного многофункционального медицинского центра на земельных участках по адресам: г. Воронеж, пр-кт Московский, 33 с кадастровым номером 36:34:0205005:310 и г. Воронеж, пр-кт Московский, 37а с кадастровым номером 36:34:0205005:306 не будет являться искусственным препятствием для аэродрома Воронеж (Чертовицкое).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>Согласно предварительному согласованию ПАО "ВАСО" от 18.08.2017 возможно проектирование и строительство 12-этажного многофункционального медицинского центра на земельных участках по адресам: г. Воронеж, пр-кт Московский, 33, кадастровый номер 36:34:0205005:310 и пр-кт Московский, 37а, кадастровый номер 36:34:0205005:306 с максимальной высотой объекта не более 48,5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Планируемая территория расположена в границах зон боевых действий на территории города Воронежа в 1942 - 1943 годах,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</w:t>
      </w:r>
      <w:hyperlink r:id="rId37">
        <w:r>
          <w:rPr>
            <w:color w:val="0000FF"/>
          </w:rPr>
          <w:t>Законом</w:t>
        </w:r>
      </w:hyperlink>
      <w:r>
        <w:t xml:space="preserve"> РФ от 14.01.1993 N 4292-1 "Об увековечении памяти погибших при защите Отечества" и </w:t>
      </w:r>
      <w:hyperlink r:id="rId38">
        <w:r>
          <w:rPr>
            <w:color w:val="0000FF"/>
          </w:rPr>
          <w:t>Законом</w:t>
        </w:r>
      </w:hyperlink>
      <w:r>
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При обследовании площадки изысканий, геологических и инженерно-геологических процессов, отрицательно влияющих на строительство и эксплуатацию проектируемых зданий и сооружений, не выявлено. Строительство возможно без специальной предварительной инженерной подготовки.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  <w:outlineLvl w:val="2"/>
      </w:pPr>
      <w:r>
        <w:t>III. Архитектурно-планировочные решения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квартала по Московскому проспекту разработан с учетом ранее выполненного проекта планировки территории по Московскому проспекту в городском округе город Воронеж, утвержденного постановлением администрации городского округа город Воронеж от 22.12.2015 N 952 и внесенных изменений, согласно </w:t>
      </w:r>
      <w:hyperlink r:id="rId39">
        <w:r>
          <w:rPr>
            <w:color w:val="0000FF"/>
          </w:rPr>
          <w:t>постановлению</w:t>
        </w:r>
      </w:hyperlink>
      <w:r>
        <w:t xml:space="preserve"> администрации городского округа город Воронеж от 16.08.2017 N 445 "О внесении изменений в постановление администрации городского округа город Воронеж от 22.12.2015</w:t>
      </w:r>
      <w:proofErr w:type="gramEnd"/>
      <w:r>
        <w:t xml:space="preserve"> N 952".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Основной задачей настоящего проекта планировки территории является уточнение элементов планировочной структуры, функционального назначения и параметров разрешенного строительства в границах зон планируемого размещения объектов капитального строительства, установленных ранее утвержденным проектом планировки территории.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lastRenderedPageBreak/>
        <w:t>Для повышения интенсивности использования территории и создания более комфортных условий проживания населения настоящим проектом планировки территории предлагается внести изменения в планировочную структуру и функциональное зонирование квартала по Московскому проспекту в городском округе город Воронеж.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Проектом планировки территории планируется: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строительство многоквартирного многоэтажного дома (21 этаж) с нежилыми встроенно-пристроенными помещениями, в которых будут размещаться предприятия и учреждения повседневного обслуживания населения, детское дошкольное учреждение, подземная автостоянка;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строительство многоквартирного многоэтажного дома (16 этажей) с нежилыми встроенно-пристроенными помещениями (4 этажа), в которых будут размещаться предприятия и учреждения повседневного и периодического обслуживания с подземной автостоянкой (вместо 3-этажного офисного здания с двухуровневой подземной парковкой позиции N 5);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>- уточнение удельных размеров площадок различного функционального назначения, необходимых для многоквартирных многоэтажных домов и увеличение вместимости детского дошкольного учреждения с учетом вновь планируемого многоэтажного жилого дома (16 этажей) (вместо 3-этажного офисного здания с двухуровневой подземной парковкой позиции N 6), предусматривается единое пространственное решение придомовых территорий данных домов: площадки для отдыха взрослого населения, площадки для детей, спортивные и хозяйственные площадки, открытые площадки</w:t>
      </w:r>
      <w:proofErr w:type="gramEnd"/>
      <w:r>
        <w:t xml:space="preserve"> для временного хранения автомобилей и озеленение);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с целью развития системы медицинского обслуживания населения по оказанию услуг качественной и полной диагностики проектом планировки территории предлагается строительство 12-этажного многофункционального медицинского центра (вместо позиции 9 (3-этажное здание зуботехнической лаборатории));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реконструктивные мероприятия с постепенной заменой участков, занятых индивидуальной жилой застройкой, не соответствующей современным требованиям, на общественно-деловую застройку с полным инженерным обеспечением.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Проектом предлагается выделение следующих функциональных зон в границах, предлагаемых для застройки территорий площадью 5,8 га: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зона планируемого размещения многоэтажной жилой застройки;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зона планируемого размещения общественно-деловой застройки;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зона существующей индивидуальной жилой застройки;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зона рекреации с культовым сооружением.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Убыль существующего жилищного фонда на планируемой территории предполагается 853,5 кв. м. Существующий сохраняемый жилой фонд - 1089,75 кв. м, население существующего сохраняемого жилого фонда составляет 36 чел., площадь застройки - 783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При разработке документов по планировке территории на отдельный участок территории, занимающий часть территории квартала, необходимо обеспечить совместимость размещаемых объектов с окружающей застройкой и требуемый уровень социального и культурно-бытового обслуживания населения для квартала в целом.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 xml:space="preserve">Настоящим проектом планировки территории предлагается строительство отдельно стоящего 12-этажного здания, соединенного по второму этажу надземным переходом с </w:t>
      </w:r>
      <w:r>
        <w:lastRenderedPageBreak/>
        <w:t>существующим зданием стоматологической клиники, принадлежащей ИП Рогатневу В.П. Организация благоустройства территории многофункционального медицинского центра частично предполагается за счет земельного участка по пр-кту Московскому, 37а.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>Общая площадь рассматриваемой территории составит 3297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рассматриваемой территории сохраняется планируемое строительство многоквартирного многоэтажного дома (21 этаж) с подземной автостоянкой, с нежилыми встроенно-пристроенными помещениями дошкольного учреждения, предприятиями повседневного обслуживания населения и строительство многоквартирного многоэтажного жилого дома (16 этажей) с нежилыми встроенно-пристроенными помещениями (4 этажа) и постепенная замена индивидуальной жилой застройки на общественно-деловую застройку.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Интенсивность использования территории рассматриваемого квартала площадью 5,8 га, в который входят планируемые земельные участки, следующая: площадь застройки - 11303 кв. м (коэффициент застройки - 0,19), суммарная площадь зданий - 61297,5 кв. м (коэффициент плотности застройки - 1,06), с учетом жилищной обеспеченности 30 кв. м/чел население - 829 чел., плотность населения - 143 чел/га.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40">
        <w:r>
          <w:rPr>
            <w:color w:val="0000FF"/>
          </w:rPr>
          <w:t>п. 12.2.2</w:t>
        </w:r>
      </w:hyperlink>
      <w:r>
        <w:t xml:space="preserve"> региональных нормативов градостроительного проектирования 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</w:t>
      </w:r>
    </w:p>
    <w:p w:rsidR="00243FE7" w:rsidRDefault="00243FE7">
      <w:pPr>
        <w:pStyle w:val="ConsPlusNormal"/>
        <w:jc w:val="right"/>
      </w:pPr>
    </w:p>
    <w:p w:rsidR="00243FE7" w:rsidRDefault="00243FE7">
      <w:pPr>
        <w:pStyle w:val="ConsPlusNormal"/>
        <w:jc w:val="right"/>
        <w:outlineLvl w:val="3"/>
      </w:pPr>
      <w:r>
        <w:t>Таблица N 1</w:t>
      </w:r>
    </w:p>
    <w:p w:rsidR="00243FE7" w:rsidRDefault="00243FE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737"/>
        <w:gridCol w:w="964"/>
        <w:gridCol w:w="1304"/>
        <w:gridCol w:w="1020"/>
        <w:gridCol w:w="737"/>
        <w:gridCol w:w="850"/>
      </w:tblGrid>
      <w:tr w:rsidR="00243FE7">
        <w:tc>
          <w:tcPr>
            <w:tcW w:w="8957" w:type="dxa"/>
            <w:gridSpan w:val="7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Ведомость новой жилой застройки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S застр., кв. м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S суммарная, кв. м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S общая, кв. м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Кол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вартир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Население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Жилой дом со встроенно-пристроенными нежилыми помещениями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8800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220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Нежилые встроенно-пристроенные помещения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811,5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3246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3246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Жилой дом со встроенно-пристроенными нежилыми помещениями и детским дошкольным учреждением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1878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21500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17193,5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573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Нежилые встроенно-пристроенные помещения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1690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1690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1690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Итого по новой жилой застройке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4929,5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35236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28729,5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</w:tr>
      <w:tr w:rsidR="00243FE7">
        <w:tc>
          <w:tcPr>
            <w:tcW w:w="8957" w:type="dxa"/>
            <w:gridSpan w:val="7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Ведомость новой общественно-деловой застройки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Офисное здание с двухуровневой подземной автопарковкой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Офисное здание с двухуровневой </w:t>
            </w:r>
            <w:r>
              <w:lastRenderedPageBreak/>
              <w:t>подземной автопарковкой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lastRenderedPageBreak/>
              <w:t>Офисное здание с двухуровневой подземной автопарковкой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Многофункциональный медицинский центр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633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6716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6716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Мастерские по обработке камня с административными помещениями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437,5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1312,5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1312,5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Итого по новой общественно-деловой застройке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2810,5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13848,5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13848,5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8957" w:type="dxa"/>
            <w:gridSpan w:val="7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Ведомость существующих объектов соцкультбыта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Кафе по Московскому проспекту, 89а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Торговый центр по Московскому проспекту, 89б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571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1713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1713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Лечебно-диагностический центр стоматологии по пр-кту </w:t>
            </w:r>
            <w:proofErr w:type="gramStart"/>
            <w:r>
              <w:t>Московскому</w:t>
            </w:r>
            <w:proofErr w:type="gramEnd"/>
            <w:r>
              <w:t>, 33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736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1472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1472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Офисный центр по пр-кту </w:t>
            </w:r>
            <w:proofErr w:type="gramStart"/>
            <w:r>
              <w:t>Московскому</w:t>
            </w:r>
            <w:proofErr w:type="gramEnd"/>
            <w:r>
              <w:t>, 53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6072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6072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Хозяйственный блок со складскими помещениями по пр-кту </w:t>
            </w:r>
            <w:proofErr w:type="gramStart"/>
            <w:r>
              <w:t>Московскому</w:t>
            </w:r>
            <w:proofErr w:type="gramEnd"/>
            <w:r>
              <w:t>, 31д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Служебно-производственные здания </w:t>
            </w:r>
            <w:proofErr w:type="gramStart"/>
            <w:r>
              <w:t>по</w:t>
            </w:r>
            <w:proofErr w:type="gramEnd"/>
          </w:p>
          <w:p w:rsidR="00243FE7" w:rsidRDefault="00243FE7">
            <w:pPr>
              <w:pStyle w:val="ConsPlusNormal"/>
              <w:jc w:val="center"/>
            </w:pPr>
            <w:r>
              <w:t>пр-кту Московскому, 31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Мастерские по камнеобработке по пр-кту </w:t>
            </w:r>
            <w:proofErr w:type="gramStart"/>
            <w:r>
              <w:t>Московскому</w:t>
            </w:r>
            <w:proofErr w:type="gramEnd"/>
            <w:r>
              <w:t>, 31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>Итого по существующим объектам соцкультбыта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2780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10760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10760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8957" w:type="dxa"/>
            <w:gridSpan w:val="7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Ведомость существующей индивидуальной жилой застройки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Индивидуальный жилой дом </w:t>
            </w:r>
            <w:proofErr w:type="gramStart"/>
            <w:r>
              <w:t>по</w:t>
            </w:r>
            <w:proofErr w:type="gramEnd"/>
          </w:p>
          <w:p w:rsidR="00243FE7" w:rsidRDefault="00243FE7">
            <w:pPr>
              <w:pStyle w:val="ConsPlusNormal"/>
              <w:jc w:val="center"/>
            </w:pPr>
            <w:r>
              <w:t>ул. Беговая, 22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253,5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Индивидуальный жилой дом по ул. </w:t>
            </w:r>
            <w:proofErr w:type="gramStart"/>
            <w:r>
              <w:t>Беговая</w:t>
            </w:r>
            <w:proofErr w:type="gramEnd"/>
            <w:r>
              <w:t>, 24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84,75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Индивидуальный жилой дом по ул. </w:t>
            </w:r>
            <w:proofErr w:type="gramStart"/>
            <w:r>
              <w:t>Беговая</w:t>
            </w:r>
            <w:proofErr w:type="gramEnd"/>
            <w:r>
              <w:t>, 22а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178,5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Индивидуальный жилой дом по пр-кту </w:t>
            </w:r>
            <w:proofErr w:type="gramStart"/>
            <w:r>
              <w:t>Московскому</w:t>
            </w:r>
            <w:proofErr w:type="gramEnd"/>
            <w:r>
              <w:t>, 55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3345" w:type="dxa"/>
          </w:tcPr>
          <w:p w:rsidR="00243FE7" w:rsidRDefault="00243FE7">
            <w:pPr>
              <w:pStyle w:val="ConsPlusNormal"/>
              <w:jc w:val="center"/>
            </w:pPr>
            <w:r>
              <w:lastRenderedPageBreak/>
              <w:t>Итого по существующей индивидуальной жилой застройке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243FE7" w:rsidRDefault="00243FE7">
            <w:pPr>
              <w:pStyle w:val="ConsPlusNormal"/>
              <w:jc w:val="center"/>
            </w:pPr>
            <w:r>
              <w:t>783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1453</w:t>
            </w:r>
          </w:p>
        </w:tc>
        <w:tc>
          <w:tcPr>
            <w:tcW w:w="1020" w:type="dxa"/>
          </w:tcPr>
          <w:p w:rsidR="00243FE7" w:rsidRDefault="00243FE7">
            <w:pPr>
              <w:pStyle w:val="ConsPlusNormal"/>
              <w:jc w:val="center"/>
            </w:pPr>
            <w:r>
              <w:t>1089,75</w:t>
            </w:r>
          </w:p>
        </w:tc>
        <w:tc>
          <w:tcPr>
            <w:tcW w:w="737" w:type="dxa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43FE7" w:rsidRDefault="00243FE7">
            <w:pPr>
              <w:pStyle w:val="ConsPlusNormal"/>
              <w:jc w:val="center"/>
            </w:pPr>
            <w:r>
              <w:t>36</w:t>
            </w:r>
          </w:p>
        </w:tc>
      </w:tr>
    </w:tbl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41">
        <w:r>
          <w:rPr>
            <w:color w:val="0000FF"/>
          </w:rPr>
          <w:t>п. 4.2.3</w:t>
        </w:r>
      </w:hyperlink>
      <w:r>
        <w:t xml:space="preserve"> региональных нормативов градостроительного проектирования в пределах многофункциональной общественно-деловой зоны рекомендуется принимать долю участков общественной застройки - не менее 40%, озелененных территорий общего пользования - не менее 20%, жилой застройки - не более 25%. Площадь земельного участка, занятого жилой застройкой, - 1,46 га (25%); площадь земельного участка, занятого общественно-деловой зоной, - 2,87 га (50%);</w:t>
      </w:r>
      <w:proofErr w:type="gramEnd"/>
      <w:r>
        <w:t xml:space="preserve"> площадь озелененных территорий общего пользования - 1,49 га (26%).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В многоэтажной многоквартирной </w:t>
      </w:r>
      <w:proofErr w:type="gramStart"/>
      <w:r>
        <w:t>застройке жилые здания</w:t>
      </w:r>
      <w:proofErr w:type="gramEnd"/>
      <w:r>
        <w:t xml:space="preserve"> с квартирами на первых этажах следует располагать, как правило, с отступом от красной линии магистральных улиц не менее 6 м, жилых улиц и проездов - не менее 3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- жилые здания с квартирами на первых этажах.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первом этаже жилого дома планируется размещение помещений общественного назначения, которые должны иметь входы, изолированные от жилой части здания.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дороги, ведущие к жилым зданиям; открытые площадки для временного хранения автомобилей; придомовые зеленые насаждения, площадки для отдыха взрослого населения и площадки для детей; хозяйственные площадки.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 xml:space="preserve">Согласно региональным </w:t>
      </w:r>
      <w:hyperlink r:id="rId42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пункта, для расчета удельных размеров площадок различного функционального назначения следует принимать показатели не менее установленных в </w:t>
      </w:r>
      <w:hyperlink w:anchor="P327">
        <w:r>
          <w:rPr>
            <w:color w:val="0000FF"/>
          </w:rPr>
          <w:t>таблице N 2</w:t>
        </w:r>
      </w:hyperlink>
      <w:r>
        <w:t>. Расчет размеров площадок произведен на количество населения нового жилого фонда - 793 человека.</w:t>
      </w:r>
      <w:proofErr w:type="gramEnd"/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  <w:outlineLvl w:val="3"/>
      </w:pPr>
      <w:r>
        <w:t>Таблица N 2</w:t>
      </w:r>
    </w:p>
    <w:p w:rsidR="00243FE7" w:rsidRDefault="00243FE7">
      <w:pPr>
        <w:pStyle w:val="ConsPlusNormal"/>
      </w:pPr>
    </w:p>
    <w:p w:rsidR="00243FE7" w:rsidRDefault="00243FE7">
      <w:pPr>
        <w:pStyle w:val="ConsPlusNormal"/>
        <w:jc w:val="center"/>
      </w:pPr>
      <w:bookmarkStart w:id="2" w:name="P327"/>
      <w:bookmarkEnd w:id="2"/>
      <w:r>
        <w:t>Технико-экономические показатели дворовой территории</w:t>
      </w:r>
    </w:p>
    <w:p w:rsidR="00243FE7" w:rsidRDefault="00243FE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275"/>
        <w:gridCol w:w="1474"/>
        <w:gridCol w:w="1304"/>
      </w:tblGrid>
      <w:tr w:rsidR="00243FE7">
        <w:tc>
          <w:tcPr>
            <w:tcW w:w="567" w:type="dxa"/>
            <w:vMerge w:val="restart"/>
          </w:tcPr>
          <w:p w:rsidR="00243FE7" w:rsidRDefault="00243FE7">
            <w:pPr>
              <w:pStyle w:val="ConsPlusNormal"/>
              <w:jc w:val="center"/>
            </w:pPr>
            <w:r>
              <w:t>N</w:t>
            </w:r>
          </w:p>
          <w:p w:rsidR="00243FE7" w:rsidRDefault="00243FE7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7" w:type="dxa"/>
            <w:vMerge w:val="restart"/>
          </w:tcPr>
          <w:p w:rsidR="00243FE7" w:rsidRDefault="00243FE7">
            <w:pPr>
              <w:pStyle w:val="ConsPlusNormal"/>
              <w:jc w:val="center"/>
            </w:pPr>
            <w:r>
              <w:t>Площадки</w:t>
            </w:r>
          </w:p>
        </w:tc>
        <w:tc>
          <w:tcPr>
            <w:tcW w:w="1418" w:type="dxa"/>
            <w:vMerge w:val="restart"/>
          </w:tcPr>
          <w:p w:rsidR="00243FE7" w:rsidRDefault="00243FE7">
            <w:pPr>
              <w:pStyle w:val="ConsPlusNormal"/>
              <w:jc w:val="center"/>
            </w:pPr>
            <w:r>
              <w:t>Население</w:t>
            </w:r>
          </w:p>
        </w:tc>
        <w:tc>
          <w:tcPr>
            <w:tcW w:w="1275" w:type="dxa"/>
            <w:vMerge w:val="restart"/>
          </w:tcPr>
          <w:p w:rsidR="00243FE7" w:rsidRDefault="00243FE7">
            <w:pPr>
              <w:pStyle w:val="ConsPlusNormal"/>
              <w:jc w:val="center"/>
            </w:pPr>
            <w:r>
              <w:t>Удельные размеры площадок, кв. м/чел.</w:t>
            </w:r>
          </w:p>
        </w:tc>
        <w:tc>
          <w:tcPr>
            <w:tcW w:w="2778" w:type="dxa"/>
            <w:gridSpan w:val="2"/>
          </w:tcPr>
          <w:p w:rsidR="00243FE7" w:rsidRDefault="00243FE7">
            <w:pPr>
              <w:pStyle w:val="ConsPlusNormal"/>
              <w:jc w:val="center"/>
            </w:pPr>
            <w:r>
              <w:t>Площадь, кв. м</w:t>
            </w:r>
          </w:p>
        </w:tc>
      </w:tr>
      <w:tr w:rsidR="00243FE7">
        <w:tc>
          <w:tcPr>
            <w:tcW w:w="567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2977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418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275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нормативная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проектная</w:t>
            </w:r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Для игр детей дошкольного и младшего школьного возраста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600</w:t>
            </w:r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Для отдыха взрослого населения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150</w:t>
            </w:r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Для занятий физкультурой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1586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1800</w:t>
            </w:r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Для хозяйственных целей и выгула собак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119 </w:t>
            </w:r>
            <w:hyperlink w:anchor="P381">
              <w:r>
                <w:rPr>
                  <w:color w:val="0000FF"/>
                </w:rPr>
                <w:t>&lt;*&gt;</w:t>
              </w:r>
            </w:hyperlink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Для озеленения территории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4758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4800</w:t>
            </w:r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Гостевые стоянки для временного пребывания (парковки) автотранспорта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1257</w:t>
            </w:r>
          </w:p>
        </w:tc>
      </w:tr>
      <w:tr w:rsidR="00243FE7">
        <w:tc>
          <w:tcPr>
            <w:tcW w:w="567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2977" w:type="dxa"/>
          </w:tcPr>
          <w:p w:rsidR="00243FE7" w:rsidRDefault="00243FE7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418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275" w:type="dxa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243FE7" w:rsidRDefault="00243FE7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8726</w:t>
            </w:r>
          </w:p>
        </w:tc>
      </w:tr>
    </w:tbl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  <w:r>
        <w:t>--------------------------------</w:t>
      </w:r>
    </w:p>
    <w:p w:rsidR="00243FE7" w:rsidRDefault="00243FE7">
      <w:pPr>
        <w:pStyle w:val="ConsPlusNormal"/>
        <w:spacing w:before="220"/>
        <w:ind w:firstLine="540"/>
        <w:jc w:val="both"/>
      </w:pPr>
      <w:bookmarkStart w:id="3" w:name="P381"/>
      <w:bookmarkEnd w:id="3"/>
      <w:r>
        <w:t xml:space="preserve">&lt;*&gt; Согласно </w:t>
      </w:r>
      <w:hyperlink r:id="rId43">
        <w:r>
          <w:rPr>
            <w:color w:val="0000FF"/>
          </w:rPr>
          <w:t>п. 3.2.21</w:t>
        </w:r>
      </w:hyperlink>
      <w:r>
        <w:t xml:space="preserve"> вышеуказанных нормативов допускается уменьшать, но не более чем на 50% удельные размеры площадок для хозяйственных целей при застройке жилыми зданиями 9 этажей и выше.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  <w:r>
        <w:t>Допускается размещать автостоянки для долговременного (постоянного) хранения автомобилей на отдельном земельном участке, правообладателем которого является застройщик, осуществляющий строительство основного строения.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Допускается перераспределение показателя озеленения между земельным участком и территорией квартала (микрорайона). В этом случае площадь озеленения придомовой территории соответственно уменьшается (увеличивается) при сохранении удельного показателя для квартала (микрорайона) в целом.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Допускается устройство общих площадок для мусорных контейнеров, обслуживающих смежные участки, по согласованию с их владельцами.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Нормативное расстояние площадок от окон жилых и общественных зданий следует принимать в соответствии с </w:t>
      </w:r>
      <w:hyperlink r:id="rId44">
        <w:r>
          <w:rPr>
            <w:color w:val="0000FF"/>
          </w:rPr>
          <w:t>п. 7.5</w:t>
        </w:r>
      </w:hyperlink>
      <w:r>
        <w:t xml:space="preserve"> СП 42.13330.2016. Минимально допустимое расстояние от окон жилых зданий до площадок: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игр детей дошкольного и младшего школьного возраста - не менее 12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отдыха взрослого населения - не менее 10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занятий физкультурой (в зависимости от шумовых характеристик наибольшие значения принимаются для хоккейных и футбольных площадок, наименьшие - для площадок для настольного тенниса) - 10 - 40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хозяйственных целей - не менее 20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выгула собак - не менее 40 м.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>Расстояния от площадок для сушки белья не нормируются, расстояния от площадок для мусоросборников до физкультурных площадок, площадок для игр детей и отдыха взрослых следует принимать не менее 20 м, а от площадок для хозяйственных целей до наиболее удаленного входа в жилое здание - не более 100 м для домов с мусоропроводами и 50 м для домов без мусоропроводов.</w:t>
      </w:r>
      <w:proofErr w:type="gramEnd"/>
    </w:p>
    <w:p w:rsidR="00243FE7" w:rsidRDefault="00243FE7">
      <w:pPr>
        <w:pStyle w:val="ConsPlusNormal"/>
        <w:spacing w:before="220"/>
        <w:ind w:firstLine="540"/>
        <w:jc w:val="both"/>
      </w:pPr>
      <w:r>
        <w:t>Площадь озелененной территории микрорайона (квартала) многоквартирной застройки жилой зоны (без учета участков общеобразовательных и детских дошкольных учреждений) должна составлять не менее 6 кв. м на 1 человека, или не менее 25% от территории квартала. В площадь участков озелененной территории включаются площадки для отдыха и игр детей, имеющие травяное покрытие, и пешеходные дорожки, имеющие покрытие из плит.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lastRenderedPageBreak/>
        <w:t>В случае примыкания жилого района к зеленым массивам (городские леса, парки и лесопарки, земли лесного фонда) возможно сокращение нормы обеспеченности жителей территориями зеленых насаждений жилого района на 25%.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основании вышеизложенного площадь озелененной территории микрорайона должна составлять 0,48 га (793 x 6 = 4758 кв. м). Проектом планировки предлагается на рассматриваемом земельном участке организация озелененных площадок для игр детей и дворовых территорий, озелененных территорий вдоль проездов. Также в планируемом квартале расположен сквер "Мемориальный", который выполняет экологическую, санитарно-гигиеническую и рекреационную функцию. Всего площадь озелененной территории составит 0,48 га.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Проектом планировки выполнена ориентировочная посадка зданий, показатели по застройке приняты из укрупненных расчетов. Посадка и значения технико-экономических показателей будут скорректированы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t>индивидуальный проект</w:t>
      </w:r>
      <w:proofErr w:type="gramEnd"/>
      <w:r>
        <w:t xml:space="preserve"> должен пройти согласование в установленном порядке. Очередность строительства определить при дальнейшем проектировании.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Строительство, реконструкция объектов капитального строительства должны осуществляться в соответствии с решением о согласовании архитектурно-градостроительного облика объекта, выданным уполномоченным структурным подразделением администрации городского округа город Воронеж, осуществляющим функции в области градостроительной и архитектурной деятельности на территории городского округа город Воронеж.</w:t>
      </w:r>
    </w:p>
    <w:p w:rsidR="00243FE7" w:rsidRDefault="00243FE7">
      <w:pPr>
        <w:pStyle w:val="ConsPlusNormal"/>
      </w:pPr>
    </w:p>
    <w:p w:rsidR="00243FE7" w:rsidRDefault="00243FE7">
      <w:pPr>
        <w:pStyle w:val="ConsPlusNormal"/>
        <w:jc w:val="center"/>
        <w:outlineLvl w:val="2"/>
      </w:pPr>
      <w:r>
        <w:t>IV. Транспортная инфраструктура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>Проект планировки территории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Транспортная схема разработана в соответствии с основными направлениями развития транспортной системы, утвержденными в составе Генерального </w:t>
      </w:r>
      <w:hyperlink r:id="rId45">
        <w:r>
          <w:rPr>
            <w:color w:val="0000FF"/>
          </w:rPr>
          <w:t>плана</w:t>
        </w:r>
      </w:hyperlink>
      <w:r>
        <w:t>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Утвержденным проектом планировки территории предлагалось строительство транспортной развязки в двух уровнях на пересечении пр-кта </w:t>
      </w:r>
      <w:proofErr w:type="gramStart"/>
      <w:r>
        <w:t>Московского</w:t>
      </w:r>
      <w:proofErr w:type="gramEnd"/>
      <w:r>
        <w:t xml:space="preserve"> и ул. Хользунова. Согласно Генеральному </w:t>
      </w:r>
      <w:hyperlink r:id="rId46">
        <w:r>
          <w:rPr>
            <w:color w:val="0000FF"/>
          </w:rPr>
          <w:t>плану</w:t>
        </w:r>
      </w:hyperlink>
      <w:r>
        <w:t xml:space="preserve"> до 2020 года в городском округе город Воронеж не предусматривается строительство развязки в двух уровнях на пересечении пр-кта Московского и ул. Хользунова, в связи с этим предлагается сохранить существующую улично-дорожную сеть.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При разработке проекта планировки территории принята классификация улично-дорожной сети в соответствии с Генеральным </w:t>
      </w:r>
      <w:hyperlink r:id="rId47">
        <w:r>
          <w:rPr>
            <w:color w:val="0000FF"/>
          </w:rPr>
          <w:t>планом</w:t>
        </w:r>
      </w:hyperlink>
      <w:r>
        <w:t>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Транспортная связь между элементами планировочной структуры предусмотрена по существующим улицам и дорогам следующих категорий: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магистральная улица общегородского значения, обеспечивающая транспортную связь проектируемой территории с общегородским центром, - пр-кт Московский, ширина проезжей части - 25 м, шесть полос движения, ширина в красных линиях - от 50 до 60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городская магистраль - ул. Хользунова, ширина проезжей части - 15 м, четыре полосы движения, ширина в красных линиях - от 55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магистральная улица районного значения - ул. Беговая, ширина проезжей части - 7 м, две полосы движения, ширина в красных линиях - 35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Основные пешеходные связи на планируемой территории обеспечивают удобную пешеходную доступность к объектам обслуживания, остановкам общественного транспорта и </w:t>
      </w:r>
      <w:r>
        <w:lastRenderedPageBreak/>
        <w:t>зонам отдыха. Пассажирские перевозки осуществляются автобусным транспортом, остановки общественного транспорта расположены в пешеходной доступности.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Подъезды, проезды, площадки для парковки автотранспорта предусмотрены капитального типа с асфальтобетонным покрытием, тротуары и пешеходные дорожки - с покрытием из тротуарной плитки сухого прессования.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внутридворовой территории предусмотрены открытые гостевые автостоянки для временного хранения легкового автотранспорта.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>Проектом планировки учтены красные линии по пр-кту Московскому, откорректированные в 2004 году.</w:t>
      </w:r>
      <w:proofErr w:type="gramEnd"/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center"/>
        <w:outlineLvl w:val="2"/>
      </w:pPr>
      <w:r>
        <w:t>V. Инженерная инфраструктура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 xml:space="preserve">Проектом планировки территории предложены решения по развитию инженерной инфраструктуры в границах рассматриваемой территории, которые приняты с учетом общей схемы развития объектов инженерной инфраструктуры, утвержденной в составе Генерального </w:t>
      </w:r>
      <w:hyperlink r:id="rId48">
        <w:r>
          <w:rPr>
            <w:color w:val="0000FF"/>
          </w:rPr>
          <w:t>плана</w:t>
        </w:r>
      </w:hyperlink>
      <w:r>
        <w:t xml:space="preserve"> и полученных технических условий на подключение проектируемых объектов к сетям инженерно-технического обеспечения у ресурсоснабжающих организаций.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Границами технических зон инженерных коммуникаций являются красные линии улично-дорожной сети.</w:t>
      </w:r>
    </w:p>
    <w:p w:rsidR="00243FE7" w:rsidRDefault="00243FE7">
      <w:pPr>
        <w:pStyle w:val="ConsPlusNormal"/>
        <w:jc w:val="right"/>
      </w:pPr>
    </w:p>
    <w:p w:rsidR="00243FE7" w:rsidRDefault="00243FE7">
      <w:pPr>
        <w:pStyle w:val="ConsPlusNormal"/>
        <w:jc w:val="right"/>
        <w:outlineLvl w:val="3"/>
      </w:pPr>
      <w:r>
        <w:t>Таблица N 3</w:t>
      </w:r>
    </w:p>
    <w:p w:rsidR="00243FE7" w:rsidRDefault="00243FE7">
      <w:pPr>
        <w:pStyle w:val="ConsPlusNormal"/>
      </w:pPr>
    </w:p>
    <w:p w:rsidR="00243FE7" w:rsidRDefault="00243FE7">
      <w:pPr>
        <w:pStyle w:val="ConsPlusNormal"/>
        <w:jc w:val="center"/>
      </w:pPr>
      <w:r>
        <w:t>Инженерное обеспечение территории</w:t>
      </w:r>
    </w:p>
    <w:p w:rsidR="00243FE7" w:rsidRDefault="00243FE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2721"/>
      </w:tblGrid>
      <w:tr w:rsidR="00243FE7">
        <w:tc>
          <w:tcPr>
            <w:tcW w:w="3231" w:type="dxa"/>
          </w:tcPr>
          <w:p w:rsidR="00243FE7" w:rsidRDefault="00243FE7">
            <w:pPr>
              <w:pStyle w:val="ConsPlusNormal"/>
            </w:pPr>
            <w:r>
              <w:t>Водоснабжение территории</w:t>
            </w:r>
          </w:p>
        </w:tc>
        <w:tc>
          <w:tcPr>
            <w:tcW w:w="2721" w:type="dxa"/>
          </w:tcPr>
          <w:p w:rsidR="00243FE7" w:rsidRDefault="00243FE7">
            <w:pPr>
              <w:pStyle w:val="ConsPlusNormal"/>
              <w:jc w:val="center"/>
            </w:pPr>
            <w:r>
              <w:t>382 куб. м/сут.</w:t>
            </w:r>
          </w:p>
        </w:tc>
      </w:tr>
      <w:tr w:rsidR="00243FE7">
        <w:tc>
          <w:tcPr>
            <w:tcW w:w="3231" w:type="dxa"/>
          </w:tcPr>
          <w:p w:rsidR="00243FE7" w:rsidRDefault="00243FE7">
            <w:pPr>
              <w:pStyle w:val="ConsPlusNormal"/>
            </w:pPr>
            <w:r>
              <w:t>Водоотведение</w:t>
            </w:r>
          </w:p>
        </w:tc>
        <w:tc>
          <w:tcPr>
            <w:tcW w:w="2721" w:type="dxa"/>
          </w:tcPr>
          <w:p w:rsidR="00243FE7" w:rsidRDefault="00243FE7">
            <w:pPr>
              <w:pStyle w:val="ConsPlusNormal"/>
              <w:jc w:val="center"/>
            </w:pPr>
            <w:r>
              <w:t>295 куб. м/сут.</w:t>
            </w:r>
          </w:p>
        </w:tc>
      </w:tr>
      <w:tr w:rsidR="00243FE7">
        <w:tc>
          <w:tcPr>
            <w:tcW w:w="3231" w:type="dxa"/>
          </w:tcPr>
          <w:p w:rsidR="00243FE7" w:rsidRDefault="00243FE7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2721" w:type="dxa"/>
          </w:tcPr>
          <w:p w:rsidR="00243FE7" w:rsidRDefault="00243FE7">
            <w:pPr>
              <w:pStyle w:val="ConsPlusNormal"/>
              <w:jc w:val="center"/>
            </w:pPr>
            <w:r>
              <w:t>835,55 кВт</w:t>
            </w:r>
          </w:p>
        </w:tc>
      </w:tr>
      <w:tr w:rsidR="00243FE7">
        <w:tc>
          <w:tcPr>
            <w:tcW w:w="3231" w:type="dxa"/>
          </w:tcPr>
          <w:p w:rsidR="00243FE7" w:rsidRDefault="00243FE7">
            <w:pPr>
              <w:pStyle w:val="ConsPlusNormal"/>
            </w:pPr>
            <w:r>
              <w:t>Теплоснабжение</w:t>
            </w:r>
          </w:p>
        </w:tc>
        <w:tc>
          <w:tcPr>
            <w:tcW w:w="2721" w:type="dxa"/>
          </w:tcPr>
          <w:p w:rsidR="00243FE7" w:rsidRDefault="00243FE7">
            <w:pPr>
              <w:pStyle w:val="ConsPlusNormal"/>
              <w:jc w:val="center"/>
            </w:pPr>
            <w:r>
              <w:t>6,5 МВт</w:t>
            </w:r>
          </w:p>
        </w:tc>
      </w:tr>
    </w:tbl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center"/>
        <w:outlineLvl w:val="2"/>
      </w:pPr>
      <w:r>
        <w:t>VI. Социальное и культурно-бытовое обслуживание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>Сложившаяся структура культурно-бытового обслуживания характеризуется сосредоточением большей части учреждений городского значения в Центральном и Ленинском районах городского округа город Воронеж. В этих районах расположены основные административные, общественные и хозяйственные организации города, а также учреждения культурно-бытового обслуживания.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В настоящее время планируемая территория обеспечена объектами повседневного обслуживания, расположенными на прилегающих территориях в радиусе доступности. Объекты периодического и эпизодического обслуживания расположены на </w:t>
      </w:r>
      <w:proofErr w:type="gramStart"/>
      <w:r>
        <w:t>рассматриваемой</w:t>
      </w:r>
      <w:proofErr w:type="gramEnd"/>
      <w:r>
        <w:t xml:space="preserve"> и прилегающих территориях.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На земельном участке по пр-кту </w:t>
      </w:r>
      <w:proofErr w:type="gramStart"/>
      <w:r>
        <w:t>Московскому</w:t>
      </w:r>
      <w:proofErr w:type="gramEnd"/>
      <w:r>
        <w:t xml:space="preserve">, 33 расположена существующая стоматологическая клиника, рассчитанная на 50 посещений в смену. Планируется строительство многофункционального медицинского центра на 170 посещений в смену (по заданию на проектирование), общее количество посещений в смену - 220 (170 + 50). В рассматриваемом учреждении планируется 197 работников (по заданию на проектирование). В соответствии с </w:t>
      </w:r>
      <w:hyperlink r:id="rId49">
        <w:r>
          <w:rPr>
            <w:color w:val="0000FF"/>
          </w:rPr>
          <w:t>п. 12.4.1, таблица 34</w:t>
        </w:r>
      </w:hyperlink>
      <w:r>
        <w:t xml:space="preserve"> региональных нормативов градостроительного проектирования </w:t>
      </w:r>
      <w:r>
        <w:lastRenderedPageBreak/>
        <w:t xml:space="preserve">рекомендуемый размер земельного участка поликлиники рассчитывается на число посещений в смену: 0,1 га на 100 посещений в смену. </w:t>
      </w:r>
      <w:proofErr w:type="gramStart"/>
      <w:r>
        <w:t>Исходя из этого нормативная площадь рассматриваемой территории под проектирование и строительство многофункционального медицинского центра составит</w:t>
      </w:r>
      <w:proofErr w:type="gramEnd"/>
      <w:r>
        <w:t xml:space="preserve"> 0,22 га ((0,1 x 220): 100 = 0,22 га). Планируемая территория под размещение многофункционального медицинского центра составит 0,3297 га. Площадь застройки многофункционального медицинского центра составит 633 кв. м (в том числе площадь перехода 80 кв. м), общая площадь составит 6716 кв. м.</w:t>
      </w:r>
    </w:p>
    <w:p w:rsidR="00243FE7" w:rsidRDefault="00243FE7">
      <w:pPr>
        <w:pStyle w:val="ConsPlusNormal"/>
        <w:spacing w:before="220"/>
        <w:ind w:firstLine="540"/>
        <w:jc w:val="both"/>
      </w:pPr>
      <w:proofErr w:type="gramStart"/>
      <w:r>
        <w:t xml:space="preserve">Проектом планировки территории предлагается на планируемой территории разместить офисные здания (3 трехэтажных и 1 пятиэтажное) на 460 рабочих мест, с учетом сноса ветхих индивидуальных жилых домов общая площадь земельных участков, планируемых под застройку, составляет 17057 кв. м. Площадь застройки составляет 2177,5 кв. м, процент застроенности территории - 12,8%. Общая площадь зданий - 7132,5 кв. м. Согласно </w:t>
      </w:r>
      <w:hyperlink r:id="rId50">
        <w:r>
          <w:rPr>
            <w:color w:val="0000FF"/>
          </w:rPr>
          <w:t>п. 9.1.12</w:t>
        </w:r>
      </w:hyperlink>
      <w:r>
        <w:t xml:space="preserve"> региональных нормативов градостроительного проектирования</w:t>
      </w:r>
      <w:proofErr w:type="gramEnd"/>
      <w:r>
        <w:t xml:space="preserve"> общая площадь общественного здания определяется как сумма площадей всех этажей, включая технические, </w:t>
      </w:r>
      <w:proofErr w:type="gramStart"/>
      <w:r>
        <w:t>мансардный</w:t>
      </w:r>
      <w:proofErr w:type="gramEnd"/>
      <w:r>
        <w:t>, цокольный и подвальные.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Расчет рабочих мест производится с учетом планируемого размещения отдельно стоящих офисных зданий, в соответствии с СП 42.13330.2016 приложение "Д", </w:t>
      </w:r>
      <w:hyperlink r:id="rId51">
        <w:r>
          <w:rPr>
            <w:color w:val="0000FF"/>
          </w:rPr>
          <w:t>таблица Д.1</w:t>
        </w:r>
      </w:hyperlink>
      <w:r>
        <w:t xml:space="preserve"> на 1 сотрудника приходится 44 - 18,5 кв. м площади от земельного участка при этажности здания 3 - 5 этажей. Площадь земельных участков под трехэтажными офисными зданиями - 14767 кв. м (14767 / 44 = 336 сотрудников). Площадь земельного участка под пятиэтажное офисное здание - 2290 кв. м (2290 / 18,5 = 124 сотрудника). Общее количество сотрудников - 460.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региональным </w:t>
      </w:r>
      <w:hyperlink r:id="rId52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общественные здания в общественно-деловой зоне размещаются с отступом от красных линий. Размещение зданий по красной линии допускается в условиях реконструкции сложившейся застройки при соответствующем обосновании. В зоне размещения объекта формируется единая пешеходная зона, обеспечивающая удобство подхода к зданию, остановкам транспорта и озелененным рекреационным территориям.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требованиям </w:t>
      </w:r>
      <w:hyperlink r:id="rId53">
        <w:r>
          <w:rPr>
            <w:color w:val="0000FF"/>
          </w:rPr>
          <w:t>п. 2.5</w:t>
        </w:r>
      </w:hyperlink>
      <w:r>
        <w:t xml:space="preserve"> региональных нормативов градостроительного проектирования при проектировании необходимо обеспечить доступность к общественным объектам для инвалидов и маломобильных групп населения.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Расчет по обеспечению населения нового жилого фонда планируемой территории объектами социальной значимости повседневного обслуживания, выполненный в соответствии с региональными </w:t>
      </w:r>
      <w:hyperlink r:id="rId54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проектирования, приводится в </w:t>
      </w:r>
      <w:hyperlink w:anchor="P443">
        <w:r>
          <w:rPr>
            <w:color w:val="0000FF"/>
          </w:rPr>
          <w:t>таблице N 4</w:t>
        </w:r>
      </w:hyperlink>
      <w:r>
        <w:t>: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  <w:outlineLvl w:val="3"/>
      </w:pPr>
      <w:bookmarkStart w:id="4" w:name="P443"/>
      <w:bookmarkEnd w:id="4"/>
      <w:r>
        <w:t>Таблица N 4</w:t>
      </w:r>
    </w:p>
    <w:p w:rsidR="00243FE7" w:rsidRDefault="00243FE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692"/>
        <w:gridCol w:w="2551"/>
        <w:gridCol w:w="1304"/>
        <w:gridCol w:w="1928"/>
      </w:tblGrid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Предприятия и учреждения повседневного обслуживания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Минимальная обеспеченность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Расчетные показатели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Планируемые показатели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Детские дошкольные учреждения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42 места на 1000 жителей</w:t>
            </w:r>
          </w:p>
          <w:p w:rsidR="00243FE7" w:rsidRDefault="00243FE7">
            <w:pPr>
              <w:pStyle w:val="ConsPlusNormal"/>
              <w:jc w:val="center"/>
            </w:pPr>
            <w:r>
              <w:t>42 x 793 / 1000 = 33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33 места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35 мест</w:t>
            </w:r>
          </w:p>
          <w:p w:rsidR="00243FE7" w:rsidRDefault="00243FE7">
            <w:pPr>
              <w:pStyle w:val="ConsPlusNormal"/>
              <w:jc w:val="center"/>
            </w:pPr>
            <w:r>
              <w:t>На первом этаже жилого дома (21 эт.)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Общеобразовательные школы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100 мест на 1000 жителей</w:t>
            </w:r>
          </w:p>
          <w:p w:rsidR="00243FE7" w:rsidRDefault="00243FE7">
            <w:pPr>
              <w:pStyle w:val="ConsPlusNormal"/>
              <w:jc w:val="center"/>
            </w:pPr>
            <w:r>
              <w:t>100 x 793 / 1000 = 79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79 мест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 xml:space="preserve">В радиусе доступности на прилегающей </w:t>
            </w:r>
            <w:r>
              <w:lastRenderedPageBreak/>
              <w:t>территории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Предприятия торговли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300 кв. м торговой площади на 1000 жит.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234 кв. м торговой площади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В радиусе доступности и на первых этажах жилых домов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Предприятия бытового обслуживания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9 рабочих мест на 1000 жит.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7 рабочих мест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На первых этажах жилых домов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Отделение банка, операционная касса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1 объект на 10 тыс. человек</w:t>
            </w:r>
          </w:p>
          <w:p w:rsidR="00243FE7" w:rsidRDefault="00243FE7">
            <w:pPr>
              <w:pStyle w:val="ConsPlusNormal"/>
              <w:jc w:val="center"/>
            </w:pPr>
            <w:r>
              <w:t>793 x 1 / 10000 = 0,0793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На один дом не требуется. В радиусе доступности на прилегающей территории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Отделение связи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1 объект на 14 тыс. человек</w:t>
            </w:r>
          </w:p>
          <w:p w:rsidR="00243FE7" w:rsidRDefault="00243FE7">
            <w:pPr>
              <w:pStyle w:val="ConsPlusNormal"/>
              <w:jc w:val="center"/>
            </w:pPr>
            <w:r>
              <w:t>793 x 1 / 14000 = 0,057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На один дом не требуется. В радиусе доступности на прилегающей территории</w:t>
            </w:r>
          </w:p>
        </w:tc>
      </w:tr>
      <w:tr w:rsidR="00243FE7">
        <w:tc>
          <w:tcPr>
            <w:tcW w:w="510" w:type="dxa"/>
          </w:tcPr>
          <w:p w:rsidR="00243FE7" w:rsidRDefault="00243F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92" w:type="dxa"/>
          </w:tcPr>
          <w:p w:rsidR="00243FE7" w:rsidRDefault="00243FE7">
            <w:pPr>
              <w:pStyle w:val="ConsPlusNormal"/>
              <w:jc w:val="center"/>
            </w:pPr>
            <w:r>
              <w:t>Аптечный пункт</w:t>
            </w:r>
          </w:p>
        </w:tc>
        <w:tc>
          <w:tcPr>
            <w:tcW w:w="2551" w:type="dxa"/>
          </w:tcPr>
          <w:p w:rsidR="00243FE7" w:rsidRDefault="00243FE7">
            <w:pPr>
              <w:pStyle w:val="ConsPlusNormal"/>
              <w:jc w:val="center"/>
            </w:pPr>
            <w:r>
              <w:t>1 объект на 15 тыс. человек</w:t>
            </w:r>
          </w:p>
          <w:p w:rsidR="00243FE7" w:rsidRDefault="00243FE7">
            <w:pPr>
              <w:pStyle w:val="ConsPlusNormal"/>
              <w:jc w:val="center"/>
            </w:pPr>
            <w:r>
              <w:t>793 x 1 / 15000 = 0,053</w:t>
            </w:r>
          </w:p>
        </w:tc>
        <w:tc>
          <w:tcPr>
            <w:tcW w:w="1304" w:type="dxa"/>
          </w:tcPr>
          <w:p w:rsidR="00243FE7" w:rsidRDefault="00243FE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243FE7" w:rsidRDefault="00243FE7">
            <w:pPr>
              <w:pStyle w:val="ConsPlusNormal"/>
              <w:jc w:val="center"/>
            </w:pPr>
            <w:r>
              <w:t>На первых этажах жилых домов</w:t>
            </w:r>
          </w:p>
        </w:tc>
      </w:tr>
    </w:tbl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  <w:outlineLvl w:val="3"/>
      </w:pPr>
      <w:r>
        <w:t>Объекты социального обслуживания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 xml:space="preserve">Население планируемых жилых домов по пр-кту </w:t>
      </w:r>
      <w:proofErr w:type="gramStart"/>
      <w:r>
        <w:t>Московскому</w:t>
      </w:r>
      <w:proofErr w:type="gramEnd"/>
      <w:r>
        <w:t xml:space="preserve">, 67 и пр-кту Московскому, 85 составляет 793 человека. По расчетам потребность жителей данных домов в общеобразовательных учреждениях - 79 мест (100 x 793 / 1000 = 79). </w:t>
      </w:r>
      <w:proofErr w:type="gramStart"/>
      <w:r>
        <w:t>Исходя из того, что часть территории квартала, планируемая под новое строительство многоквартирных многоэтажных домов, площадью 1,26 га, в соответствии с планируемой численностью населения до 1000 чел. (793 чел.), с расчетом объектов повседневного обслуживания и нормами минимальной площади земельного участка под размещение общеобразовательной школы (при вместимости общеобразовательного учреждения свыше 40 мест до 400 мест - 55 кв. м на одного учащегося) в</w:t>
      </w:r>
      <w:proofErr w:type="gramEnd"/>
      <w:r>
        <w:t xml:space="preserve"> </w:t>
      </w:r>
      <w:proofErr w:type="gramStart"/>
      <w:r>
        <w:t>границах</w:t>
      </w:r>
      <w:proofErr w:type="gramEnd"/>
      <w:r>
        <w:t xml:space="preserve"> планируемой части квартала строительство новых объектов образования нецелесообразно.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данной территории не планируется строительство общеобразовательной школы, в связи с этим обеспечение потребности населения в данных учреждениях будет решаться за счет существующих объектов образования, расположенных в радиусе доступности. Согласно данным управления образования и молодежной политики администрации городского округа город Воронеж от 22.11.2016 N 6672751, в настоящее время имеется 128 свободных мест в общеобразовательных учреждениях, расположенных в радиусе доступности.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местным </w:t>
      </w:r>
      <w:hyperlink r:id="rId55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радиус обслуживания населения общеобразовательными учреждениями составляет 750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Для обслуживания населения новой жилой застройки местами в детских дошкольных учреждениях на рассматриваемой территории планируется размещение встроенно-пристроенного детского дошкольного учреждения вместимостью 35 мест в многоквартирном </w:t>
      </w:r>
      <w:r>
        <w:lastRenderedPageBreak/>
        <w:t>многоэтажном доме (21 этаж) с территорией участка площадью 1400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56">
        <w:r>
          <w:rPr>
            <w:color w:val="0000FF"/>
          </w:rPr>
          <w:t>п. 12.4.4, таблицы 45</w:t>
        </w:r>
      </w:hyperlink>
      <w:r>
        <w:t xml:space="preserve"> региональных нормативов градостроительного проектирования размер земельного участка для встроенно-пристроенных детских дошкольных учреждений - 35 кв. м / место (35 кв. м / место x 35 = 1225 кв. м).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местным </w:t>
      </w:r>
      <w:hyperlink r:id="rId57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радиус обслуживания населения для детских дошкольных учреждений, размещенных в многоэтажной застройке, - 300 м.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  <w:outlineLvl w:val="2"/>
      </w:pPr>
      <w:r>
        <w:t>VII. Расчет обеспечения планируемой территории</w:t>
      </w:r>
    </w:p>
    <w:p w:rsidR="00243FE7" w:rsidRDefault="00243FE7">
      <w:pPr>
        <w:pStyle w:val="ConsPlusNormal"/>
        <w:jc w:val="center"/>
      </w:pPr>
      <w:r>
        <w:t>машино-местами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 xml:space="preserve">Расчет минимального количества машино-мест для новой застройки произведен в соответствии с региональными </w:t>
      </w:r>
      <w:hyperlink r:id="rId58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и </w:t>
      </w:r>
      <w:hyperlink r:id="rId59">
        <w:r>
          <w:rPr>
            <w:color w:val="0000FF"/>
          </w:rPr>
          <w:t>СП 158.13330.2014</w:t>
        </w:r>
      </w:hyperlink>
      <w:r>
        <w:t xml:space="preserve"> "Здания и помещения медицинских организаций. Правила проектирования".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представленному расчету по </w:t>
      </w:r>
      <w:hyperlink r:id="rId60">
        <w:r>
          <w:rPr>
            <w:color w:val="0000FF"/>
          </w:rPr>
          <w:t>п. 12.6.2.3 таблицы 54</w:t>
        </w:r>
      </w:hyperlink>
      <w:r>
        <w:t xml:space="preserve"> региональных нормативов градостроительного проектирования для 460 сотрудников планируемых офисных зданий (позиции 6, 7, 8, 10) необходимо предусмотреть приобъектные гостевые парковки на 115 машино/мест (25 машин на 100 работающих 460 x 25</w:t>
      </w:r>
      <w:proofErr w:type="gramStart"/>
      <w:r>
        <w:t xml:space="preserve"> :</w:t>
      </w:r>
      <w:proofErr w:type="gramEnd"/>
      <w:r>
        <w:t xml:space="preserve"> 100 = 115).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Для планируемых офисных зданий (позиции 6, 7, 8, 10) настоящим проектом предусмотрены: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три двухуровневые подземные автостоянки на 190 машино/мест (нормативное количество 115 машино/мест) на земельных участках общей площадью 2500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открытые гостевые парковки на 80 машино/мест на территории общей площадью 1200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Общее количество машино/мест составляет 270.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Согласно СП 158.13330.2014 "Здания и помещения медицинских организаций. Правила проектирования" (с изменением N 1) пункт 5.5 на участке медицинских организаций предусматриваются стоянки автомашин, количество которых определяется по </w:t>
      </w:r>
      <w:hyperlink r:id="rId61">
        <w:r>
          <w:rPr>
            <w:color w:val="0000FF"/>
          </w:rPr>
          <w:t>таблице 5.2</w:t>
        </w:r>
      </w:hyperlink>
      <w:r>
        <w:t xml:space="preserve"> на поликлинику на 100 сотрудников необходимо 5 - 7 машино/мест, на 100 посещений в смену 2 - 3 машино/места.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В пределах плотной городской застройки по заданию на проектирование число машино/мест может быть уменьшено. Следовательно, для 197 сотрудников медицинского центра необходимо 10 машино/мест ((197 x 5)</w:t>
      </w:r>
      <w:proofErr w:type="gramStart"/>
      <w:r>
        <w:t xml:space="preserve"> :</w:t>
      </w:r>
      <w:proofErr w:type="gramEnd"/>
      <w:r>
        <w:t xml:space="preserve"> 100 = 10 машино/мест для сотрудников), на 170 посещений в смену необходимо 3 машино/места ((170 x 2) : 100 = 3 машино/места для посещений в смену).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Общее количество машино/мест - 13.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Для проектируемого 12-этажного многофункционального медицинского центра (позиция 9) </w:t>
      </w:r>
      <w:proofErr w:type="gramStart"/>
      <w:r>
        <w:t>предусмотрены</w:t>
      </w:r>
      <w:proofErr w:type="gramEnd"/>
      <w:r>
        <w:t>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открытые парковки для сотрудников - 10 машино/мест на земельном участке общей площадью 150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открытые парковки для пациентов - 4 машино-места на земельном участке площадью 60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lastRenderedPageBreak/>
        <w:t>Общее количество машино/мест составляет 14.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 xml:space="preserve">Проектом планировки территории квартала по Московскому проспекту в городском округе город Воронеж, утвержденным постановлением администрации городского округа город Воронеж от 22.12.2015 N 952 и </w:t>
      </w:r>
      <w:proofErr w:type="gramStart"/>
      <w:r>
        <w:t>согласно</w:t>
      </w:r>
      <w:proofErr w:type="gramEnd"/>
      <w:r>
        <w:t xml:space="preserve"> внесенных изменений </w:t>
      </w:r>
      <w:hyperlink r:id="rId62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16.08.2017 N 445 для планируемого многоквартирного многоэтажного дома (21 этаж) предусмотрены: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постоянного хранения - подземная автостоянка на 123 машино/места на земельном участке площадью 2480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гостевые парковки - 65 машино/мест на земельных участках общей площадью 975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Общее количество машино/мест составляет 188.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Для планируемого многоквартирного многоэтажного дома (16 этажей) предусмотрено: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для постоянного хранения - подземная автостоянка на 98 машино/мест (нормативное количество 69 машино/мест) на земельном участке площадью 2600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гостевые парковки - 15 машино/мест (нормативное количество 9 машино/мест) на земельном участке площадью 282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гостевые парковки для офисных помещений, размещаемых в нежилых встроенно-пристроенных помещениях, - 77 машино/мест (нормативное количество 65 машино/мест) на земельных участках общей площадью 2079 кв. м.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Общее количество машино/мест составляет 190.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На открытых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принятыми в международной практике.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center"/>
        <w:outlineLvl w:val="2"/>
      </w:pPr>
      <w:r>
        <w:t>VIII. Характеристики планируемого развития территории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>Интенсивность использования территории рассматриваемого квартала площадью 5,8 га, в который входят планируемые земельные участки, следующая: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убыль жилого фонда - 853,5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площадь застройки - 11303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коэффициент застройки - 0,19;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суммарная площадь зданий - 61297,5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коэффициент плотности застройки - 1,06;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население - 829 чел.;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плотность населения - 143 чел/</w:t>
      </w:r>
      <w:proofErr w:type="gramStart"/>
      <w:r>
        <w:t>га</w:t>
      </w:r>
      <w:proofErr w:type="gramEnd"/>
      <w:r>
        <w:t>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общая площадь планируемых общественных зданий - 13848,5 кв. м;</w:t>
      </w:r>
    </w:p>
    <w:p w:rsidR="00243FE7" w:rsidRDefault="00243FE7">
      <w:pPr>
        <w:pStyle w:val="ConsPlusNormal"/>
        <w:spacing w:before="220"/>
        <w:ind w:firstLine="540"/>
        <w:jc w:val="both"/>
      </w:pPr>
      <w:r>
        <w:t>- количество новых рабочих мест - 917 чел. (460 + 260 + 197).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  <w:outlineLvl w:val="2"/>
      </w:pPr>
      <w:r>
        <w:t>IX. Технико-экономические показатели проекта планировки</w:t>
      </w:r>
    </w:p>
    <w:p w:rsidR="00243FE7" w:rsidRDefault="00243FE7">
      <w:pPr>
        <w:pStyle w:val="ConsPlusNormal"/>
        <w:jc w:val="right"/>
      </w:pPr>
    </w:p>
    <w:p w:rsidR="00243FE7" w:rsidRDefault="00243FE7">
      <w:pPr>
        <w:pStyle w:val="ConsPlusNormal"/>
        <w:jc w:val="right"/>
        <w:outlineLvl w:val="3"/>
      </w:pPr>
      <w:r>
        <w:t>Таблица N 5</w:t>
      </w:r>
    </w:p>
    <w:p w:rsidR="00243FE7" w:rsidRDefault="00243FE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912"/>
        <w:gridCol w:w="1531"/>
        <w:gridCol w:w="1531"/>
        <w:gridCol w:w="1474"/>
      </w:tblGrid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Ед. измер.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Территория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квартала - всего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5,8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1,46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территория общего пользования, всего: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4,34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участки школ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участки детского сада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0,14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участки зеленых насаждений общего пользования (парки, скверы, бульвары) и культовых сооружений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0,93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1,11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участки гаражей, стоянок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улицы, проезды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0,36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открытые автостоянки (временного хранения автотранспорта)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0,47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прочие территории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1,33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0,19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тыс. кв. м/</w:t>
            </w:r>
            <w:proofErr w:type="gramStart"/>
            <w:r>
              <w:t>га</w:t>
            </w:r>
            <w:proofErr w:type="gramEnd"/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1,06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Население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Численность населения квартала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829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Плотность населения квартала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143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Число новых рабочих мест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917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Жилищный фонд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Общая площадь жилых домов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тыс. кв. м общей площади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23,79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Средняя этажность застройки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этаж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1 - 11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1 - 21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lastRenderedPageBreak/>
              <w:t>4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Детские дошкольные учреждения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35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Общеобразовательная школа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учащихся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Аптеки, аптечные пункты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объектов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Многофункциональный медицинский центр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170</w:t>
            </w:r>
          </w:p>
        </w:tc>
      </w:tr>
      <w:tr w:rsidR="00243FE7">
        <w:tc>
          <w:tcPr>
            <w:tcW w:w="510" w:type="dxa"/>
            <w:vMerge w:val="restart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3912" w:type="dxa"/>
            <w:tcBorders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  <w:r>
              <w:t>Офисные здания, в том числе:</w:t>
            </w:r>
          </w:p>
        </w:tc>
        <w:tc>
          <w:tcPr>
            <w:tcW w:w="1531" w:type="dxa"/>
            <w:vMerge w:val="restart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тыс. кв. м</w:t>
            </w:r>
          </w:p>
          <w:p w:rsidR="00243FE7" w:rsidRDefault="00243FE7">
            <w:pPr>
              <w:pStyle w:val="ConsPlusNormal"/>
              <w:jc w:val="center"/>
            </w:pPr>
            <w:r>
              <w:t>общей</w:t>
            </w:r>
          </w:p>
          <w:p w:rsidR="00243FE7" w:rsidRDefault="00243FE7">
            <w:pPr>
              <w:pStyle w:val="ConsPlusNormal"/>
              <w:jc w:val="center"/>
            </w:pPr>
            <w:r>
              <w:t>площади</w:t>
            </w:r>
          </w:p>
        </w:tc>
        <w:tc>
          <w:tcPr>
            <w:tcW w:w="1531" w:type="dxa"/>
            <w:vMerge w:val="restart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tcBorders>
              <w:top w:val="nil"/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  <w:r>
              <w:t>существующие</w:t>
            </w:r>
          </w:p>
        </w:tc>
        <w:tc>
          <w:tcPr>
            <w:tcW w:w="1531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531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24,61</w:t>
            </w:r>
          </w:p>
        </w:tc>
      </w:tr>
      <w:tr w:rsidR="00243FE7"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tcBorders>
              <w:top w:val="nil"/>
            </w:tcBorders>
            <w:vAlign w:val="center"/>
          </w:tcPr>
          <w:p w:rsidR="00243FE7" w:rsidRDefault="00243FE7">
            <w:pPr>
              <w:pStyle w:val="ConsPlusNormal"/>
            </w:pPr>
            <w:r>
              <w:t>планируемые</w:t>
            </w:r>
          </w:p>
        </w:tc>
        <w:tc>
          <w:tcPr>
            <w:tcW w:w="1531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531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1474" w:type="dxa"/>
            <w:tcBorders>
              <w:top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13,855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Гаражи и стоянки для хранения легковых автомобилей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662</w:t>
            </w:r>
          </w:p>
        </w:tc>
      </w:tr>
      <w:tr w:rsidR="00243FE7">
        <w:tc>
          <w:tcPr>
            <w:tcW w:w="510" w:type="dxa"/>
            <w:vMerge w:val="restart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постоянного хранения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221</w:t>
            </w:r>
          </w:p>
        </w:tc>
      </w:tr>
      <w:tr w:rsidR="00243FE7"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временного хранения,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441</w:t>
            </w:r>
          </w:p>
        </w:tc>
      </w:tr>
      <w:tr w:rsidR="00243FE7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tcBorders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</w:p>
        </w:tc>
      </w:tr>
      <w:tr w:rsidR="00243FE7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tcBorders>
              <w:top w:val="nil"/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  <w:r>
              <w:t>- временного хранения для планируемой жилой застройки;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243FE7" w:rsidRDefault="00243FE7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80</w:t>
            </w:r>
          </w:p>
        </w:tc>
      </w:tr>
      <w:tr w:rsidR="00243FE7">
        <w:tc>
          <w:tcPr>
            <w:tcW w:w="510" w:type="dxa"/>
            <w:vMerge/>
          </w:tcPr>
          <w:p w:rsidR="00243FE7" w:rsidRDefault="00243FE7">
            <w:pPr>
              <w:pStyle w:val="ConsPlusNormal"/>
            </w:pPr>
          </w:p>
        </w:tc>
        <w:tc>
          <w:tcPr>
            <w:tcW w:w="3912" w:type="dxa"/>
            <w:tcBorders>
              <w:top w:val="nil"/>
            </w:tcBorders>
            <w:vAlign w:val="center"/>
          </w:tcPr>
          <w:p w:rsidR="00243FE7" w:rsidRDefault="00243FE7">
            <w:pPr>
              <w:pStyle w:val="ConsPlusNormal"/>
            </w:pPr>
            <w:r>
              <w:t>- временного хранения (подземные и наземные автостоянки) для офисных зданий и нежилых встроенно-пристроенных помещений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tcBorders>
              <w:top w:val="nil"/>
            </w:tcBorders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361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Водопотребление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382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Водоотведение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295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Электропотребление (удельная расчетная нагрузка)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835,55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Общее потребление тепла на отопление, вентиляцию, горячее водоснабжение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МВт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6,5</w:t>
            </w:r>
          </w:p>
        </w:tc>
      </w:tr>
      <w:tr w:rsidR="00243FE7">
        <w:tc>
          <w:tcPr>
            <w:tcW w:w="510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3912" w:type="dxa"/>
            <w:vAlign w:val="center"/>
          </w:tcPr>
          <w:p w:rsidR="00243FE7" w:rsidRDefault="00243FE7">
            <w:pPr>
              <w:pStyle w:val="ConsPlusNormal"/>
            </w:pPr>
            <w:r>
              <w:t>Газоснабжение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куб. м/час</w:t>
            </w:r>
          </w:p>
        </w:tc>
        <w:tc>
          <w:tcPr>
            <w:tcW w:w="1531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43FE7" w:rsidRDefault="00243FE7">
            <w:pPr>
              <w:pStyle w:val="ConsPlusNormal"/>
              <w:jc w:val="center"/>
            </w:pPr>
            <w:r>
              <w:t>-</w:t>
            </w:r>
          </w:p>
        </w:tc>
      </w:tr>
    </w:tbl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  <w:outlineLvl w:val="2"/>
      </w:pPr>
      <w:r>
        <w:t>X. Защита территории от чрезвычайных ситуаций</w:t>
      </w:r>
    </w:p>
    <w:p w:rsidR="00243FE7" w:rsidRDefault="00243FE7">
      <w:pPr>
        <w:pStyle w:val="ConsPlusNormal"/>
        <w:jc w:val="center"/>
      </w:pPr>
      <w:r>
        <w:t>природного и техногенного характера,</w:t>
      </w:r>
    </w:p>
    <w:p w:rsidR="00243FE7" w:rsidRDefault="00243FE7">
      <w:pPr>
        <w:pStyle w:val="ConsPlusNormal"/>
        <w:jc w:val="center"/>
      </w:pPr>
      <w:r>
        <w:lastRenderedPageBreak/>
        <w:t>проведение мероприятий по гражданской обороне</w:t>
      </w:r>
    </w:p>
    <w:p w:rsidR="00243FE7" w:rsidRDefault="00243FE7">
      <w:pPr>
        <w:pStyle w:val="ConsPlusNormal"/>
        <w:jc w:val="center"/>
      </w:pPr>
      <w:r>
        <w:t>и обеспечению пожарной безопасности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</w:t>
      </w:r>
      <w:hyperlink r:id="rId63">
        <w:r>
          <w:rPr>
            <w:color w:val="0000FF"/>
          </w:rPr>
          <w:t>плана</w:t>
        </w:r>
      </w:hyperlink>
      <w:r>
        <w:t xml:space="preserve"> городского округа.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243FE7" w:rsidRDefault="00243FE7">
      <w:pPr>
        <w:pStyle w:val="ConsPlusNormal"/>
        <w:jc w:val="right"/>
      </w:pPr>
      <w:r>
        <w:t>руководителя управления</w:t>
      </w:r>
    </w:p>
    <w:p w:rsidR="00243FE7" w:rsidRDefault="00243FE7">
      <w:pPr>
        <w:pStyle w:val="ConsPlusNormal"/>
        <w:jc w:val="right"/>
      </w:pPr>
      <w:r>
        <w:t>главного архитектора городского округа</w:t>
      </w:r>
    </w:p>
    <w:p w:rsidR="00243FE7" w:rsidRDefault="00243FE7">
      <w:pPr>
        <w:pStyle w:val="ConsPlusNormal"/>
        <w:jc w:val="right"/>
      </w:pPr>
      <w:r>
        <w:t>Л.А.ПОДШИВАЛОВА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</w:pPr>
    </w:p>
    <w:p w:rsidR="00243FE7" w:rsidRDefault="00243FE7">
      <w:pPr>
        <w:pStyle w:val="ConsPlusNormal"/>
        <w:jc w:val="right"/>
      </w:pPr>
    </w:p>
    <w:p w:rsidR="00243FE7" w:rsidRDefault="00243FE7">
      <w:pPr>
        <w:pStyle w:val="ConsPlusNormal"/>
        <w:jc w:val="right"/>
        <w:outlineLvl w:val="1"/>
      </w:pPr>
      <w:r>
        <w:t>Приложение N 2</w:t>
      </w:r>
    </w:p>
    <w:p w:rsidR="00243FE7" w:rsidRDefault="00243FE7">
      <w:pPr>
        <w:pStyle w:val="ConsPlusNormal"/>
        <w:jc w:val="right"/>
      </w:pPr>
      <w:r>
        <w:t>к проекту</w:t>
      </w:r>
    </w:p>
    <w:p w:rsidR="00243FE7" w:rsidRDefault="00243FE7">
      <w:pPr>
        <w:pStyle w:val="ConsPlusNormal"/>
        <w:jc w:val="right"/>
      </w:pPr>
      <w:r>
        <w:t>планировки территории</w:t>
      </w:r>
    </w:p>
    <w:p w:rsidR="00243FE7" w:rsidRDefault="00243FE7">
      <w:pPr>
        <w:pStyle w:val="ConsPlusNormal"/>
        <w:jc w:val="right"/>
      </w:pPr>
      <w:r>
        <w:t>квартала по Московскому проспекту</w:t>
      </w:r>
    </w:p>
    <w:p w:rsidR="00243FE7" w:rsidRDefault="00243FE7">
      <w:pPr>
        <w:pStyle w:val="ConsPlusNormal"/>
        <w:jc w:val="right"/>
      </w:pPr>
      <w:r>
        <w:t>в городском округе город Воронеж</w:t>
      </w:r>
    </w:p>
    <w:p w:rsidR="00243FE7" w:rsidRDefault="00243FE7">
      <w:pPr>
        <w:pStyle w:val="ConsPlusNormal"/>
        <w:jc w:val="right"/>
      </w:pPr>
    </w:p>
    <w:p w:rsidR="00243FE7" w:rsidRDefault="00243FE7">
      <w:pPr>
        <w:pStyle w:val="ConsPlusNormal"/>
        <w:jc w:val="center"/>
      </w:pPr>
      <w:bookmarkStart w:id="5" w:name="P789"/>
      <w:bookmarkEnd w:id="5"/>
      <w:r>
        <w:t>Чертеж</w:t>
      </w:r>
    </w:p>
    <w:p w:rsidR="00243FE7" w:rsidRDefault="00243FE7">
      <w:pPr>
        <w:pStyle w:val="ConsPlusNormal"/>
        <w:jc w:val="center"/>
      </w:pPr>
      <w:r>
        <w:t>планировки территории квартала по Московскому проспекту</w:t>
      </w:r>
    </w:p>
    <w:p w:rsidR="00243FE7" w:rsidRDefault="00243FE7">
      <w:pPr>
        <w:pStyle w:val="ConsPlusNormal"/>
        <w:jc w:val="center"/>
      </w:pPr>
      <w:r>
        <w:t>в городском округе город Воронеж</w:t>
      </w:r>
    </w:p>
    <w:p w:rsidR="00243FE7" w:rsidRDefault="00243FE7">
      <w:pPr>
        <w:pStyle w:val="ConsPlusNormal"/>
        <w:jc w:val="center"/>
      </w:pPr>
    </w:p>
    <w:p w:rsidR="00243FE7" w:rsidRDefault="00243FE7">
      <w:pPr>
        <w:pStyle w:val="ConsPlusNormal"/>
        <w:jc w:val="center"/>
      </w:pPr>
      <w:r>
        <w:rPr>
          <w:noProof/>
          <w:position w:val="-560"/>
        </w:rPr>
        <w:lastRenderedPageBreak/>
        <w:drawing>
          <wp:inline distT="0" distB="0" distL="0" distR="0">
            <wp:extent cx="4949190" cy="72631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90" cy="726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243FE7" w:rsidRDefault="00243FE7">
      <w:pPr>
        <w:pStyle w:val="ConsPlusNormal"/>
        <w:jc w:val="right"/>
      </w:pPr>
      <w:r>
        <w:t>руководителя управления</w:t>
      </w:r>
    </w:p>
    <w:p w:rsidR="00243FE7" w:rsidRDefault="00243FE7">
      <w:pPr>
        <w:pStyle w:val="ConsPlusNormal"/>
        <w:jc w:val="right"/>
      </w:pPr>
      <w:r>
        <w:t>главного архитектора городского округа</w:t>
      </w:r>
    </w:p>
    <w:p w:rsidR="00243FE7" w:rsidRDefault="00243FE7">
      <w:pPr>
        <w:pStyle w:val="ConsPlusNormal"/>
        <w:jc w:val="right"/>
      </w:pPr>
      <w:r>
        <w:t>Л.А.ПОДШИВАЛОВА</w:t>
      </w: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ind w:firstLine="540"/>
        <w:jc w:val="both"/>
      </w:pPr>
    </w:p>
    <w:p w:rsidR="00243FE7" w:rsidRDefault="00243FE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38DF" w:rsidRDefault="00D438DF">
      <w:bookmarkStart w:id="6" w:name="_GoBack"/>
      <w:bookmarkEnd w:id="6"/>
    </w:p>
    <w:sectPr w:rsidR="00D438DF" w:rsidSect="00155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E7"/>
    <w:rsid w:val="00243FE7"/>
    <w:rsid w:val="00D4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F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3F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3F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3F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3F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3F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3F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43F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F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3F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3F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3F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3F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3F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3F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43F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81&amp;n=77096&amp;dst=101321" TargetMode="External"/><Relationship Id="rId21" Type="http://schemas.openxmlformats.org/officeDocument/2006/relationships/hyperlink" Target="https://login.consultant.ru/link/?req=doc&amp;base=RLAW181&amp;n=72741&amp;dst=100010" TargetMode="External"/><Relationship Id="rId34" Type="http://schemas.openxmlformats.org/officeDocument/2006/relationships/hyperlink" Target="https://login.consultant.ru/link/?req=doc&amp;base=RLAW181&amp;n=73833&amp;dst=100014" TargetMode="External"/><Relationship Id="rId42" Type="http://schemas.openxmlformats.org/officeDocument/2006/relationships/hyperlink" Target="https://login.consultant.ru/link/?req=doc&amp;base=RLAW181&amp;n=73833&amp;dst=100014" TargetMode="External"/><Relationship Id="rId47" Type="http://schemas.openxmlformats.org/officeDocument/2006/relationships/hyperlink" Target="https://login.consultant.ru/link/?req=doc&amp;base=RLAW181&amp;n=80216&amp;dst=100005" TargetMode="External"/><Relationship Id="rId50" Type="http://schemas.openxmlformats.org/officeDocument/2006/relationships/hyperlink" Target="https://login.consultant.ru/link/?req=doc&amp;base=RLAW181&amp;n=73833&amp;dst=101092" TargetMode="External"/><Relationship Id="rId55" Type="http://schemas.openxmlformats.org/officeDocument/2006/relationships/hyperlink" Target="https://login.consultant.ru/link/?req=doc&amp;base=RLAW181&amp;n=72741&amp;dst=100010" TargetMode="External"/><Relationship Id="rId63" Type="http://schemas.openxmlformats.org/officeDocument/2006/relationships/hyperlink" Target="https://login.consultant.ru/link/?req=doc&amp;base=RLAW181&amp;n=80216&amp;dst=100005" TargetMode="External"/><Relationship Id="rId7" Type="http://schemas.openxmlformats.org/officeDocument/2006/relationships/hyperlink" Target="https://login.consultant.ru/link/?req=doc&amp;base=LAW&amp;n=28429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7096&amp;dst=100037" TargetMode="External"/><Relationship Id="rId29" Type="http://schemas.openxmlformats.org/officeDocument/2006/relationships/hyperlink" Target="https://login.consultant.ru/link/?req=doc&amp;base=RLAW181&amp;n=77096&amp;dst=104523" TargetMode="External"/><Relationship Id="rId11" Type="http://schemas.openxmlformats.org/officeDocument/2006/relationships/hyperlink" Target="https://login.consultant.ru/link/?req=doc&amp;base=RLAW181&amp;n=79900" TargetMode="External"/><Relationship Id="rId24" Type="http://schemas.openxmlformats.org/officeDocument/2006/relationships/hyperlink" Target="https://login.consultant.ru/link/?req=doc&amp;base=RLAW181&amp;n=77096&amp;dst=100037" TargetMode="External"/><Relationship Id="rId32" Type="http://schemas.openxmlformats.org/officeDocument/2006/relationships/hyperlink" Target="https://login.consultant.ru/link/?req=doc&amp;base=RLAW181&amp;n=79066&amp;dst=100009" TargetMode="External"/><Relationship Id="rId37" Type="http://schemas.openxmlformats.org/officeDocument/2006/relationships/hyperlink" Target="https://login.consultant.ru/link/?req=doc&amp;base=LAW&amp;n=200615" TargetMode="External"/><Relationship Id="rId40" Type="http://schemas.openxmlformats.org/officeDocument/2006/relationships/hyperlink" Target="https://login.consultant.ru/link/?req=doc&amp;base=RLAW181&amp;n=73833&amp;dst=101948" TargetMode="External"/><Relationship Id="rId45" Type="http://schemas.openxmlformats.org/officeDocument/2006/relationships/hyperlink" Target="https://login.consultant.ru/link/?req=doc&amp;base=RLAW181&amp;n=80216&amp;dst=100005" TargetMode="External"/><Relationship Id="rId53" Type="http://schemas.openxmlformats.org/officeDocument/2006/relationships/hyperlink" Target="https://login.consultant.ru/link/?req=doc&amp;base=RLAW181&amp;n=73833&amp;dst=100258" TargetMode="External"/><Relationship Id="rId58" Type="http://schemas.openxmlformats.org/officeDocument/2006/relationships/hyperlink" Target="https://login.consultant.ru/link/?req=doc&amp;base=RLAW181&amp;n=73833&amp;dst=100014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STR&amp;n=21110&amp;dst=100230" TargetMode="External"/><Relationship Id="rId19" Type="http://schemas.openxmlformats.org/officeDocument/2006/relationships/hyperlink" Target="https://login.consultant.ru/link/?req=doc&amp;base=RLAW181&amp;n=79066" TargetMode="External"/><Relationship Id="rId14" Type="http://schemas.openxmlformats.org/officeDocument/2006/relationships/hyperlink" Target="https://login.consultant.ru/link/?req=doc&amp;base=RLAW181&amp;n=79900" TargetMode="External"/><Relationship Id="rId22" Type="http://schemas.openxmlformats.org/officeDocument/2006/relationships/hyperlink" Target="https://login.consultant.ru/link/?req=doc&amp;base=RLAW181&amp;n=80013&amp;dst=100014" TargetMode="External"/><Relationship Id="rId27" Type="http://schemas.openxmlformats.org/officeDocument/2006/relationships/hyperlink" Target="https://login.consultant.ru/link/?req=doc&amp;base=RLAW181&amp;n=77096&amp;dst=106954" TargetMode="External"/><Relationship Id="rId30" Type="http://schemas.openxmlformats.org/officeDocument/2006/relationships/hyperlink" Target="https://login.consultant.ru/link/?req=doc&amp;base=RLAW181&amp;n=77096&amp;dst=101363" TargetMode="External"/><Relationship Id="rId35" Type="http://schemas.openxmlformats.org/officeDocument/2006/relationships/hyperlink" Target="https://login.consultant.ru/link/?req=doc&amp;base=RLAW181&amp;n=77096&amp;dst=100037" TargetMode="External"/><Relationship Id="rId43" Type="http://schemas.openxmlformats.org/officeDocument/2006/relationships/hyperlink" Target="https://login.consultant.ru/link/?req=doc&amp;base=RLAW181&amp;n=73833&amp;dst=100411" TargetMode="External"/><Relationship Id="rId48" Type="http://schemas.openxmlformats.org/officeDocument/2006/relationships/hyperlink" Target="https://login.consultant.ru/link/?req=doc&amp;base=RLAW181&amp;n=80216&amp;dst=100005" TargetMode="External"/><Relationship Id="rId56" Type="http://schemas.openxmlformats.org/officeDocument/2006/relationships/hyperlink" Target="https://login.consultant.ru/link/?req=doc&amp;base=RLAW181&amp;n=73833&amp;dst=102494" TargetMode="External"/><Relationship Id="rId64" Type="http://schemas.openxmlformats.org/officeDocument/2006/relationships/image" Target="media/image1.png"/><Relationship Id="rId8" Type="http://schemas.openxmlformats.org/officeDocument/2006/relationships/hyperlink" Target="https://login.consultant.ru/link/?req=doc&amp;base=RLAW181&amp;n=78548" TargetMode="External"/><Relationship Id="rId51" Type="http://schemas.openxmlformats.org/officeDocument/2006/relationships/hyperlink" Target="https://login.consultant.ru/link/?req=doc&amp;base=STR&amp;n=21072&amp;dst=10192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79089" TargetMode="External"/><Relationship Id="rId17" Type="http://schemas.openxmlformats.org/officeDocument/2006/relationships/hyperlink" Target="https://login.consultant.ru/link/?req=doc&amp;base=RLAW181&amp;n=79066" TargetMode="External"/><Relationship Id="rId25" Type="http://schemas.openxmlformats.org/officeDocument/2006/relationships/hyperlink" Target="https://login.consultant.ru/link/?req=doc&amp;base=RLAW181&amp;n=77096&amp;dst=101363" TargetMode="External"/><Relationship Id="rId33" Type="http://schemas.openxmlformats.org/officeDocument/2006/relationships/hyperlink" Target="https://login.consultant.ru/link/?req=doc&amp;base=RLAW181&amp;n=79066" TargetMode="External"/><Relationship Id="rId38" Type="http://schemas.openxmlformats.org/officeDocument/2006/relationships/hyperlink" Target="https://login.consultant.ru/link/?req=doc&amp;base=RLAW181&amp;n=79655" TargetMode="External"/><Relationship Id="rId46" Type="http://schemas.openxmlformats.org/officeDocument/2006/relationships/hyperlink" Target="https://login.consultant.ru/link/?req=doc&amp;base=RLAW181&amp;n=80216&amp;dst=100005" TargetMode="External"/><Relationship Id="rId59" Type="http://schemas.openxmlformats.org/officeDocument/2006/relationships/hyperlink" Target="https://login.consultant.ru/link/?req=doc&amp;base=STR&amp;n=21110" TargetMode="External"/><Relationship Id="rId20" Type="http://schemas.openxmlformats.org/officeDocument/2006/relationships/hyperlink" Target="https://login.consultant.ru/link/?req=doc&amp;base=RLAW181&amp;n=73833&amp;dst=100014" TargetMode="External"/><Relationship Id="rId41" Type="http://schemas.openxmlformats.org/officeDocument/2006/relationships/hyperlink" Target="https://login.consultant.ru/link/?req=doc&amp;base=RLAW181&amp;n=73833&amp;dst=100470" TargetMode="External"/><Relationship Id="rId54" Type="http://schemas.openxmlformats.org/officeDocument/2006/relationships/hyperlink" Target="https://login.consultant.ru/link/?req=doc&amp;base=RLAW181&amp;n=73833&amp;dst=100014" TargetMode="External"/><Relationship Id="rId62" Type="http://schemas.openxmlformats.org/officeDocument/2006/relationships/hyperlink" Target="https://login.consultant.ru/link/?req=doc&amp;base=RLAW181&amp;n=7906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19140" TargetMode="External"/><Relationship Id="rId15" Type="http://schemas.openxmlformats.org/officeDocument/2006/relationships/hyperlink" Target="https://login.consultant.ru/link/?req=doc&amp;base=RLAW181&amp;n=80216&amp;dst=100005" TargetMode="External"/><Relationship Id="rId23" Type="http://schemas.openxmlformats.org/officeDocument/2006/relationships/hyperlink" Target="https://login.consultant.ru/link/?req=doc&amp;base=RLAW181&amp;n=80216&amp;dst=100005" TargetMode="External"/><Relationship Id="rId28" Type="http://schemas.openxmlformats.org/officeDocument/2006/relationships/hyperlink" Target="https://login.consultant.ru/link/?req=doc&amp;base=RLAW181&amp;n=77096&amp;dst=101393" TargetMode="External"/><Relationship Id="rId36" Type="http://schemas.openxmlformats.org/officeDocument/2006/relationships/hyperlink" Target="https://login.consultant.ru/link/?req=doc&amp;base=LAW&amp;n=163543&amp;dst=100012" TargetMode="External"/><Relationship Id="rId49" Type="http://schemas.openxmlformats.org/officeDocument/2006/relationships/hyperlink" Target="https://login.consultant.ru/link/?req=doc&amp;base=RLAW181&amp;n=73833&amp;dst=102090" TargetMode="External"/><Relationship Id="rId57" Type="http://schemas.openxmlformats.org/officeDocument/2006/relationships/hyperlink" Target="https://login.consultant.ru/link/?req=doc&amp;base=RLAW181&amp;n=72741&amp;dst=100010" TargetMode="External"/><Relationship Id="rId10" Type="http://schemas.openxmlformats.org/officeDocument/2006/relationships/hyperlink" Target="https://login.consultant.ru/link/?req=doc&amp;base=RLAW181&amp;n=79089" TargetMode="External"/><Relationship Id="rId31" Type="http://schemas.openxmlformats.org/officeDocument/2006/relationships/hyperlink" Target="https://login.consultant.ru/link/?req=doc&amp;base=RLAW181&amp;n=79066" TargetMode="External"/><Relationship Id="rId44" Type="http://schemas.openxmlformats.org/officeDocument/2006/relationships/hyperlink" Target="https://login.consultant.ru/link/?req=doc&amp;base=STR&amp;n=21072&amp;dst=100307" TargetMode="External"/><Relationship Id="rId52" Type="http://schemas.openxmlformats.org/officeDocument/2006/relationships/hyperlink" Target="https://login.consultant.ru/link/?req=doc&amp;base=RLAW181&amp;n=73833&amp;dst=100014" TargetMode="External"/><Relationship Id="rId60" Type="http://schemas.openxmlformats.org/officeDocument/2006/relationships/hyperlink" Target="https://login.consultant.ru/link/?req=doc&amp;base=RLAW181&amp;n=73833&amp;dst=102965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80216&amp;dst=100005" TargetMode="External"/><Relationship Id="rId13" Type="http://schemas.openxmlformats.org/officeDocument/2006/relationships/hyperlink" Target="https://login.consultant.ru/link/?req=doc&amp;base=RLAW181&amp;n=79089&amp;dst=100371" TargetMode="External"/><Relationship Id="rId18" Type="http://schemas.openxmlformats.org/officeDocument/2006/relationships/hyperlink" Target="https://login.consultant.ru/link/?req=doc&amp;base=LAW&amp;n=219140" TargetMode="External"/><Relationship Id="rId39" Type="http://schemas.openxmlformats.org/officeDocument/2006/relationships/hyperlink" Target="https://login.consultant.ru/link/?req=doc&amp;base=RLAW181&amp;n=790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7887</Words>
  <Characters>44960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2026-02-24T12:57:00Z</dcterms:created>
  <dcterms:modified xsi:type="dcterms:W3CDTF">2026-02-24T12:57:00Z</dcterms:modified>
</cp:coreProperties>
</file>